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3.xml" ContentType="application/xml"/>
  <Override PartName="/customXml/item2.xml" ContentType="application/xml"/>
  <Override PartName="/customXml/itemProps1.xml" ContentType="application/vnd.openxmlformats-officedocument.customXmlProperties+xml"/>
  <Override PartName="/customXml/itemProps4.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1.xml" ContentType="application/xml"/>
  <Override PartName="/word/_rels/footnotes.xml.rels" ContentType="application/vnd.openxmlformats-package.relationships+xml"/>
  <Override PartName="/word/_rels/document.xml.rels" ContentType="application/vnd.openxmlformats-package.relationships+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media/image1.jpeg" ContentType="image/jpeg"/>
  <Override PartName="/word/media/image2.jpeg" ContentType="image/jpeg"/>
  <Override PartName="/word/footer4.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footer7.xml" ContentType="application/vnd.openxmlformats-officedocument.wordprocessingml.footer+xml"/>
  <Override PartName="/word/styles.xml" ContentType="application/vnd.openxmlformats-officedocument.wordprocessingml.styles+xml"/>
  <Override PartName="/word/footer6.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tabs>
          <w:tab w:val="clear" w:pos="708"/>
          <w:tab w:val="left" w:pos="1260" w:leader="none"/>
        </w:tabs>
        <w:snapToGrid w:val="true"/>
        <w:ind w:left="1260" w:hanging="1080"/>
        <w:jc w:val="center"/>
        <w:rPr>
          <w:rFonts w:cs="Times New Roman"/>
          <w:b/>
          <w:color w:val="auto"/>
          <w:szCs w:val="24"/>
          <w:lang w:eastAsia="ru-RU" w:bidi="ar-SA"/>
        </w:rPr>
      </w:pPr>
      <w:r>
        <w:rPr>
          <w:rFonts w:cs="Times New Roman"/>
          <w:b/>
          <w:color w:val="auto"/>
          <w:szCs w:val="24"/>
          <w:lang w:eastAsia="ru-RU" w:bidi="ar-SA"/>
        </w:rPr>
        <w:t>Требования к оформлению и составлению</w:t>
      </w:r>
    </w:p>
    <w:p>
      <w:pPr>
        <w:pStyle w:val="Normal"/>
        <w:widowControl/>
        <w:tabs>
          <w:tab w:val="clear" w:pos="708"/>
          <w:tab w:val="left" w:pos="1620" w:leader="none"/>
        </w:tabs>
        <w:snapToGrid w:val="true"/>
        <w:ind w:firstLine="180"/>
        <w:jc w:val="center"/>
        <w:rPr>
          <w:rFonts w:cs="Times New Roman"/>
          <w:b/>
          <w:color w:val="auto"/>
          <w:szCs w:val="24"/>
          <w:lang w:eastAsia="ru-RU" w:bidi="ar-SA"/>
        </w:rPr>
      </w:pPr>
      <w:r>
        <w:rPr>
          <w:rFonts w:cs="Times New Roman"/>
          <w:b/>
          <w:color w:val="auto"/>
          <w:szCs w:val="24"/>
          <w:lang w:eastAsia="ru-RU" w:bidi="ar-SA"/>
        </w:rPr>
        <w:t xml:space="preserve"> </w:t>
      </w:r>
      <w:r>
        <w:rPr>
          <w:rFonts w:cs="Times New Roman"/>
          <w:b/>
          <w:color w:val="auto"/>
          <w:szCs w:val="24"/>
          <w:lang w:eastAsia="ru-RU" w:bidi="ar-SA"/>
        </w:rPr>
        <w:t>сметной документации по ценообразованию</w:t>
      </w:r>
    </w:p>
    <w:p>
      <w:pPr>
        <w:pStyle w:val="Normal"/>
        <w:widowControl/>
        <w:tabs>
          <w:tab w:val="clear" w:pos="708"/>
          <w:tab w:val="left" w:pos="1620" w:leader="none"/>
        </w:tabs>
        <w:snapToGrid w:val="true"/>
        <w:ind w:firstLine="180"/>
        <w:rPr>
          <w:rFonts w:cs="Times New Roman"/>
          <w:b/>
          <w:color w:val="auto"/>
          <w:szCs w:val="24"/>
          <w:lang w:eastAsia="ru-RU" w:bidi="ar-SA"/>
        </w:rPr>
      </w:pPr>
      <w:r>
        <w:rPr>
          <w:rFonts w:cs="Times New Roman"/>
          <w:b/>
          <w:color w:val="auto"/>
          <w:szCs w:val="24"/>
          <w:lang w:eastAsia="ru-RU" w:bidi="ar-SA"/>
        </w:rPr>
      </w:r>
    </w:p>
    <w:p>
      <w:pPr>
        <w:pStyle w:val="Normal"/>
        <w:widowControl/>
        <w:numPr>
          <w:ilvl w:val="0"/>
          <w:numId w:val="8"/>
        </w:numPr>
        <w:tabs>
          <w:tab w:val="clear" w:pos="708"/>
          <w:tab w:val="left" w:pos="426" w:leader="none"/>
          <w:tab w:val="left" w:pos="1134" w:leader="none"/>
        </w:tabs>
        <w:snapToGrid w:val="true"/>
        <w:ind w:left="0" w:hanging="0"/>
        <w:rPr>
          <w:rFonts w:cs="Times New Roman"/>
          <w:color w:val="auto"/>
          <w:szCs w:val="24"/>
          <w:u w:val="single"/>
          <w:lang w:eastAsia="ru-RU" w:bidi="ar-SA"/>
        </w:rPr>
      </w:pPr>
      <w:r>
        <w:rPr>
          <w:rFonts w:cs="Times New Roman"/>
          <w:color w:val="auto"/>
          <w:szCs w:val="24"/>
          <w:lang w:eastAsia="ru-RU" w:bidi="ar-SA"/>
        </w:rPr>
        <w:t>Настоящие требования разработаны для единого подхода к оформлению и составлению сметной документации на работы по ремонтам на 202</w:t>
      </w:r>
      <w:r>
        <w:rPr>
          <w:rFonts w:cs="Times New Roman"/>
          <w:color w:val="auto"/>
          <w:szCs w:val="24"/>
          <w:lang w:eastAsia="ru-RU" w:bidi="ar-SA"/>
        </w:rPr>
        <w:t>6</w:t>
      </w:r>
      <w:r>
        <w:rPr>
          <w:rFonts w:cs="Times New Roman"/>
          <w:color w:val="auto"/>
          <w:szCs w:val="24"/>
          <w:lang w:eastAsia="ru-RU" w:bidi="ar-SA"/>
        </w:rPr>
        <w:t xml:space="preserve"> год.</w:t>
      </w:r>
    </w:p>
    <w:p>
      <w:pPr>
        <w:pStyle w:val="Normal"/>
        <w:widowControl/>
        <w:numPr>
          <w:ilvl w:val="0"/>
          <w:numId w:val="8"/>
        </w:numPr>
        <w:tabs>
          <w:tab w:val="clear" w:pos="708"/>
          <w:tab w:val="left" w:pos="426" w:leader="none"/>
          <w:tab w:val="left" w:pos="1134" w:leader="none"/>
        </w:tabs>
        <w:snapToGrid w:val="true"/>
        <w:ind w:left="0" w:hanging="0"/>
        <w:rPr>
          <w:rFonts w:cs="Times New Roman"/>
          <w:color w:val="auto"/>
          <w:szCs w:val="24"/>
          <w:u w:val="single"/>
          <w:lang w:eastAsia="ru-RU" w:bidi="ar-SA"/>
        </w:rPr>
      </w:pPr>
      <w:r>
        <w:rPr>
          <w:rFonts w:cs="Times New Roman"/>
          <w:color w:val="auto"/>
          <w:szCs w:val="24"/>
          <w:lang w:eastAsia="ru-RU" w:bidi="ar-SA"/>
        </w:rPr>
        <w:t xml:space="preserve">Использование нормативов ценообразования, не зарегистрированных и не вошедших в ФРСН, </w:t>
      </w:r>
      <w:r>
        <w:rPr>
          <w:rFonts w:cs="Times New Roman"/>
          <w:b/>
          <w:color w:val="auto"/>
          <w:szCs w:val="24"/>
          <w:u w:val="single"/>
          <w:lang w:eastAsia="ru-RU" w:bidi="ar-SA"/>
        </w:rPr>
        <w:t>не допускается</w:t>
      </w:r>
      <w:r>
        <w:rPr>
          <w:rFonts w:cs="Times New Roman"/>
          <w:color w:val="auto"/>
          <w:szCs w:val="24"/>
          <w:lang w:eastAsia="ru-RU" w:bidi="ar-SA"/>
        </w:rPr>
        <w:t>, кроме случаев, прямо указанных в настоящих требованиях.</w:t>
      </w:r>
    </w:p>
    <w:p>
      <w:pPr>
        <w:pStyle w:val="Normal"/>
        <w:widowControl/>
        <w:numPr>
          <w:ilvl w:val="0"/>
          <w:numId w:val="8"/>
        </w:numPr>
        <w:tabs>
          <w:tab w:val="clear" w:pos="708"/>
          <w:tab w:val="left" w:pos="426" w:leader="none"/>
          <w:tab w:val="left" w:pos="1134" w:leader="none"/>
        </w:tabs>
        <w:snapToGrid w:val="true"/>
        <w:ind w:left="0" w:hanging="0"/>
        <w:rPr>
          <w:rFonts w:cs="Times New Roman"/>
          <w:color w:val="auto"/>
          <w:szCs w:val="24"/>
          <w:u w:val="single"/>
          <w:lang w:eastAsia="ru-RU" w:bidi="ar-SA"/>
        </w:rPr>
      </w:pPr>
      <w:r>
        <w:rPr>
          <w:rFonts w:cs="Times New Roman"/>
          <w:color w:val="auto"/>
          <w:szCs w:val="24"/>
          <w:lang w:eastAsia="ru-RU" w:bidi="ar-SA"/>
        </w:rPr>
        <w:t xml:space="preserve">Версия программного комплекса «Гранд-Смета» (далее–ПК «Гранд-смета») </w:t>
      </w:r>
      <w:r>
        <w:rPr>
          <w:rFonts w:cs="Times New Roman"/>
          <w:color w:val="auto"/>
          <w:szCs w:val="24"/>
          <w:u w:val="single"/>
          <w:lang w:eastAsia="ru-RU" w:bidi="ar-SA"/>
        </w:rPr>
        <w:t>должна быть не ниже 202</w:t>
      </w:r>
      <w:r>
        <w:rPr>
          <w:rFonts w:cs="Times New Roman"/>
          <w:color w:val="auto"/>
          <w:szCs w:val="24"/>
          <w:u w:val="single"/>
          <w:lang w:eastAsia="ru-RU" w:bidi="ar-SA"/>
        </w:rPr>
        <w:t>5.2</w:t>
      </w:r>
      <w:r>
        <w:rPr>
          <w:rFonts w:cs="Times New Roman"/>
          <w:color w:val="auto"/>
          <w:szCs w:val="24"/>
          <w:u w:val="single"/>
          <w:lang w:eastAsia="ru-RU" w:bidi="ar-SA"/>
        </w:rPr>
        <w:t>.</w:t>
      </w:r>
    </w:p>
    <w:p>
      <w:pPr>
        <w:pStyle w:val="Normal"/>
        <w:widowControl/>
        <w:numPr>
          <w:ilvl w:val="0"/>
          <w:numId w:val="8"/>
        </w:numPr>
        <w:tabs>
          <w:tab w:val="clear" w:pos="708"/>
          <w:tab w:val="left" w:pos="709" w:leader="none"/>
          <w:tab w:val="left" w:pos="851" w:leader="none"/>
        </w:tabs>
        <w:snapToGrid w:val="true"/>
        <w:ind w:left="0" w:hanging="0"/>
        <w:rPr>
          <w:rFonts w:cs="Times New Roman"/>
          <w:color w:val="auto"/>
          <w:szCs w:val="24"/>
          <w:lang w:eastAsia="ru-RU" w:bidi="ar-SA"/>
        </w:rPr>
      </w:pPr>
      <w:r>
        <w:rPr>
          <w:rFonts w:cs="Times New Roman"/>
          <w:color w:val="auto"/>
          <w:szCs w:val="24"/>
          <w:lang w:eastAsia="ru-RU" w:bidi="ar-SA"/>
        </w:rPr>
        <w:t xml:space="preserve">При составлении смет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введенной в действие Приказом Министерства строительства и ЖКХ РФ от 04.08.2020 № 421/пр. (далее - Методикой определения сметной стоимости строительства), с учетом изменений и дополнений </w:t>
      </w:r>
      <w:r>
        <w:rPr>
          <w:rFonts w:cs="Times New Roman"/>
          <w:color w:val="auto"/>
          <w:sz w:val="22"/>
          <w:lang w:eastAsia="ru-RU" w:bidi="ar-SA"/>
        </w:rPr>
        <w:t xml:space="preserve"> </w:t>
      </w:r>
      <w:r>
        <w:rPr>
          <w:rFonts w:cs="Times New Roman"/>
          <w:color w:val="auto"/>
          <w:szCs w:val="24"/>
          <w:lang w:eastAsia="ru-RU" w:bidi="ar-SA"/>
        </w:rPr>
        <w:t xml:space="preserve">в редакции приказов от 07.07.2022 № 557/пр, от 30.01.2024 55/пр.,  Методикой определения сметной стоимости строительства с применением федеральных единичных расценок и их отдельных составляющих, утвержденной приказом Министерства строительства и жилищно-коммунального хозяйства Российской Федерации от 8 августа 2022 г. №648/пр., приказу ПАО «РусГидро» от 22.11.2022 №891 «Об утверждении Единой методики установления требований и критериев (отбора, оценки) при подготовке и проведении закупок в Группе РусГидро», приказу ПАО «РусГидро» от 23.11.2022 №893 (в редакции  приказа ПАО «РусГидро» от 05.09.2023  №649)  «Об утверждении  Единой методики формирования плановой цены на закупаемую продукцию для организаций группы РусГидро». </w:t>
      </w:r>
    </w:p>
    <w:p>
      <w:pPr>
        <w:pStyle w:val="Normal"/>
        <w:widowControl/>
        <w:numPr>
          <w:ilvl w:val="0"/>
          <w:numId w:val="8"/>
        </w:numPr>
        <w:tabs>
          <w:tab w:val="clear" w:pos="708"/>
          <w:tab w:val="left" w:pos="709" w:leader="none"/>
          <w:tab w:val="left" w:pos="851" w:leader="none"/>
        </w:tabs>
        <w:snapToGrid w:val="true"/>
        <w:ind w:left="0" w:hanging="0"/>
        <w:rPr/>
      </w:pPr>
      <w:r>
        <w:rPr>
          <w:rFonts w:cs="Times New Roman"/>
          <w:color w:val="auto"/>
          <w:szCs w:val="24"/>
          <w:lang w:eastAsia="ru-RU" w:bidi="ar-SA"/>
        </w:rPr>
        <w:t xml:space="preserve">Для определения плановой стоимости работ, планируемых к выполнению </w:t>
      </w:r>
      <w:r>
        <w:rPr>
          <w:rFonts w:cs="Times New Roman"/>
          <w:b/>
          <w:color w:val="auto"/>
          <w:szCs w:val="24"/>
          <w:lang w:eastAsia="ru-RU" w:bidi="ar-SA"/>
        </w:rPr>
        <w:t>в 202</w:t>
      </w:r>
      <w:r>
        <w:rPr>
          <w:rFonts w:cs="Times New Roman"/>
          <w:b/>
          <w:color w:val="auto"/>
          <w:szCs w:val="24"/>
          <w:lang w:eastAsia="ru-RU" w:bidi="ar-SA"/>
        </w:rPr>
        <w:t>6</w:t>
      </w:r>
      <w:r>
        <w:rPr>
          <w:rFonts w:cs="Times New Roman"/>
          <w:color w:val="auto"/>
          <w:szCs w:val="24"/>
          <w:lang w:eastAsia="ru-RU" w:bidi="ar-SA"/>
        </w:rPr>
        <w:t xml:space="preserve"> </w:t>
      </w:r>
      <w:r>
        <w:rPr>
          <w:rFonts w:cs="Times New Roman"/>
          <w:b/>
          <w:color w:val="auto"/>
          <w:szCs w:val="24"/>
          <w:lang w:eastAsia="ru-RU" w:bidi="ar-SA"/>
        </w:rPr>
        <w:t>году</w:t>
      </w:r>
      <w:r>
        <w:rPr>
          <w:rFonts w:cs="Times New Roman"/>
          <w:color w:val="auto"/>
          <w:szCs w:val="24"/>
          <w:lang w:eastAsia="ru-RU" w:bidi="ar-SA"/>
        </w:rPr>
        <w:t xml:space="preserve"> и рассчитанных:</w:t>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t xml:space="preserve">- по Сборникам «Базовых цен на работы по ремонту энергетического оборудования, адекватных условиям функционирования конкурентного рынка услуг по ремонту и техперевооружению» с учетом дополнений и изменений (далее – БЦ с учетом Доп.1-12), разработанных АО «ЦКБ Энергоремонт», применять поправочный индекс в размере 2.46 с начислением среднегодового индекса-дефлятора в размере </w:t>
      </w:r>
      <w:r>
        <w:rPr>
          <w:rFonts w:cs="Times New Roman"/>
          <w:color w:val="auto"/>
          <w:szCs w:val="24"/>
          <w:lang w:eastAsia="ru-RU" w:bidi="ar-SA"/>
        </w:rPr>
        <w:t>7</w:t>
      </w:r>
      <w:r>
        <w:rPr>
          <w:rFonts w:cs="Times New Roman"/>
          <w:color w:val="auto"/>
          <w:szCs w:val="24"/>
          <w:lang w:eastAsia="ru-RU" w:bidi="ar-SA"/>
        </w:rPr>
        <w:t>,</w:t>
      </w:r>
      <w:r>
        <w:rPr>
          <w:rFonts w:cs="Times New Roman"/>
          <w:color w:val="auto"/>
          <w:szCs w:val="24"/>
          <w:lang w:eastAsia="ru-RU" w:bidi="ar-SA"/>
        </w:rPr>
        <w:t>5</w:t>
      </w:r>
      <w:r>
        <w:rPr>
          <w:rFonts w:cs="Times New Roman"/>
          <w:color w:val="auto"/>
          <w:szCs w:val="24"/>
          <w:lang w:eastAsia="ru-RU" w:bidi="ar-SA"/>
        </w:rPr>
        <w:t xml:space="preserve">7% </w:t>
      </w:r>
    </w:p>
    <w:p>
      <w:pPr>
        <w:pStyle w:val="Normal"/>
        <w:widowControl/>
        <w:snapToGrid w:val="true"/>
        <w:ind w:firstLine="720"/>
        <w:rPr>
          <w:rFonts w:cs="Times New Roman"/>
          <w:color w:val="auto"/>
          <w:szCs w:val="24"/>
          <w:lang w:eastAsia="ru-RU" w:bidi="ar-SA"/>
        </w:rPr>
      </w:pPr>
      <w:r>
        <w:rPr>
          <w:rFonts w:cs="Times New Roman"/>
          <w:color w:val="auto"/>
          <w:szCs w:val="24"/>
          <w:lang w:eastAsia="ru-RU" w:bidi="ar-SA"/>
        </w:rPr>
        <w:t>- по Сборникам Федеральных Единичных Расценок сметно -нормативной базы «ГЭСН-2020, ФЕР-2020 с изм. 1-9», включенных в ФРСН, применять индексы пересчета из базовых цен в текущие по состоянию на 2 квартал 202</w:t>
      </w:r>
      <w:r>
        <w:rPr>
          <w:rFonts w:cs="Times New Roman"/>
          <w:color w:val="auto"/>
          <w:szCs w:val="24"/>
          <w:lang w:eastAsia="ru-RU" w:bidi="ar-SA"/>
        </w:rPr>
        <w:t>5</w:t>
      </w:r>
      <w:r>
        <w:rPr>
          <w:rFonts w:cs="Times New Roman"/>
          <w:color w:val="auto"/>
          <w:szCs w:val="24"/>
          <w:lang w:eastAsia="ru-RU" w:bidi="ar-SA"/>
        </w:rPr>
        <w:t xml:space="preserve"> года (Письмо Минстрой РФ №33852-ИФ 11.06.2025) по  Дальневосточному федеральному округу Амурская область (1 зона). Прочие объекты:</w:t>
      </w:r>
    </w:p>
    <w:p>
      <w:pPr>
        <w:pStyle w:val="Normal"/>
        <w:widowControl/>
        <w:snapToGrid w:val="true"/>
        <w:ind w:firstLine="720"/>
        <w:rPr>
          <w:rFonts w:cs="Times New Roman"/>
          <w:color w:val="auto"/>
          <w:szCs w:val="24"/>
          <w:lang w:eastAsia="ru-RU" w:bidi="ar-SA"/>
        </w:rPr>
      </w:pPr>
      <w:r>
        <w:rPr>
          <w:rFonts w:cs="Times New Roman"/>
          <w:color w:val="auto"/>
          <w:szCs w:val="24"/>
          <w:lang w:eastAsia="ru-RU" w:bidi="ar-SA"/>
        </w:rPr>
        <w:t>- ОЗП =</w:t>
      </w:r>
      <w:r>
        <w:rPr>
          <w:rFonts w:cs="Times New Roman"/>
          <w:color w:val="auto"/>
          <w:szCs w:val="24"/>
          <w:lang w:eastAsia="ru-RU" w:bidi="ar-SA"/>
        </w:rPr>
        <w:t>66,42</w:t>
      </w:r>
      <w:r>
        <w:rPr>
          <w:rFonts w:cs="Times New Roman"/>
          <w:color w:val="auto"/>
          <w:szCs w:val="24"/>
          <w:lang w:eastAsia="ru-RU" w:bidi="ar-SA"/>
        </w:rPr>
        <w:t xml:space="preserve">; </w:t>
      </w:r>
    </w:p>
    <w:p>
      <w:pPr>
        <w:pStyle w:val="Normal"/>
        <w:widowControl/>
        <w:snapToGrid w:val="true"/>
        <w:ind w:firstLine="720"/>
        <w:rPr>
          <w:rFonts w:cs="Times New Roman"/>
          <w:color w:val="auto"/>
          <w:szCs w:val="24"/>
          <w:lang w:eastAsia="ru-RU" w:bidi="ar-SA"/>
        </w:rPr>
      </w:pPr>
      <w:r>
        <w:rPr>
          <w:rFonts w:cs="Times New Roman"/>
          <w:color w:val="auto"/>
          <w:szCs w:val="24"/>
          <w:lang w:eastAsia="ru-RU" w:bidi="ar-SA"/>
        </w:rPr>
        <w:t>- ЭМ =1</w:t>
      </w:r>
      <w:r>
        <w:rPr>
          <w:rFonts w:cs="Times New Roman"/>
          <w:color w:val="auto"/>
          <w:szCs w:val="24"/>
          <w:lang w:eastAsia="ru-RU" w:bidi="ar-SA"/>
        </w:rPr>
        <w:t>8,75</w:t>
      </w:r>
      <w:r>
        <w:rPr>
          <w:rFonts w:cs="Times New Roman"/>
          <w:color w:val="auto"/>
          <w:szCs w:val="24"/>
          <w:lang w:eastAsia="ru-RU" w:bidi="ar-SA"/>
        </w:rPr>
        <w:t xml:space="preserve">; </w:t>
      </w:r>
    </w:p>
    <w:p>
      <w:pPr>
        <w:pStyle w:val="Normal"/>
        <w:widowControl/>
        <w:snapToGrid w:val="true"/>
        <w:ind w:firstLine="720"/>
        <w:rPr>
          <w:rFonts w:cs="Times New Roman"/>
          <w:color w:val="auto"/>
          <w:szCs w:val="24"/>
          <w:lang w:eastAsia="ru-RU" w:bidi="ar-SA"/>
        </w:rPr>
      </w:pPr>
      <w:r>
        <w:rPr>
          <w:rFonts w:cs="Times New Roman"/>
          <w:color w:val="auto"/>
          <w:szCs w:val="24"/>
          <w:lang w:eastAsia="ru-RU" w:bidi="ar-SA"/>
        </w:rPr>
        <w:t xml:space="preserve">- ЗПМ </w:t>
      </w:r>
      <w:r>
        <w:rPr>
          <w:rFonts w:cs="Times New Roman"/>
          <w:color w:val="auto"/>
          <w:szCs w:val="24"/>
          <w:lang w:eastAsia="ru-RU" w:bidi="ar-SA"/>
        </w:rPr>
        <w:t>66,42</w:t>
      </w:r>
      <w:r>
        <w:rPr>
          <w:rFonts w:cs="Times New Roman"/>
          <w:color w:val="auto"/>
          <w:szCs w:val="24"/>
          <w:lang w:eastAsia="ru-RU" w:bidi="ar-SA"/>
        </w:rPr>
        <w:t xml:space="preserve">; </w:t>
      </w:r>
    </w:p>
    <w:p>
      <w:pPr>
        <w:pStyle w:val="Normal"/>
        <w:widowControl/>
        <w:snapToGrid w:val="true"/>
        <w:ind w:firstLine="720"/>
        <w:rPr>
          <w:rFonts w:cs="Times New Roman"/>
          <w:color w:val="auto"/>
          <w:szCs w:val="24"/>
          <w:lang w:eastAsia="ru-RU" w:bidi="ar-SA"/>
        </w:rPr>
      </w:pPr>
      <w:r>
        <w:rPr>
          <w:rFonts w:cs="Times New Roman"/>
          <w:color w:val="auto"/>
          <w:szCs w:val="24"/>
          <w:lang w:eastAsia="ru-RU" w:bidi="ar-SA"/>
        </w:rPr>
        <w:t>- МАТ =1</w:t>
      </w:r>
      <w:r>
        <w:rPr>
          <w:rFonts w:cs="Times New Roman"/>
          <w:color w:val="auto"/>
          <w:szCs w:val="24"/>
          <w:lang w:eastAsia="ru-RU" w:bidi="ar-SA"/>
        </w:rPr>
        <w:t>1</w:t>
      </w:r>
      <w:r>
        <w:rPr>
          <w:rFonts w:cs="Times New Roman"/>
          <w:color w:val="auto"/>
          <w:szCs w:val="24"/>
          <w:lang w:eastAsia="ru-RU" w:bidi="ar-SA"/>
        </w:rPr>
        <w:t>,</w:t>
      </w:r>
      <w:r>
        <w:rPr>
          <w:rFonts w:cs="Times New Roman"/>
          <w:color w:val="auto"/>
          <w:szCs w:val="24"/>
          <w:lang w:eastAsia="ru-RU" w:bidi="ar-SA"/>
        </w:rPr>
        <w:t>07</w:t>
      </w:r>
      <w:r>
        <w:rPr>
          <w:rFonts w:cs="Times New Roman"/>
          <w:color w:val="auto"/>
          <w:szCs w:val="24"/>
          <w:lang w:eastAsia="ru-RU" w:bidi="ar-SA"/>
        </w:rPr>
        <w:t xml:space="preserve"> </w:t>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t xml:space="preserve">с применением среднегодового индекса-дефлятора в размере </w:t>
      </w:r>
      <w:r>
        <w:rPr>
          <w:rFonts w:cs="Times New Roman"/>
          <w:color w:val="auto"/>
          <w:szCs w:val="24"/>
          <w:lang w:eastAsia="ru-RU" w:bidi="ar-SA"/>
        </w:rPr>
        <w:t>7,57</w:t>
      </w:r>
      <w:r>
        <w:rPr>
          <w:rFonts w:cs="Times New Roman"/>
          <w:color w:val="auto"/>
          <w:szCs w:val="24"/>
          <w:lang w:eastAsia="ru-RU" w:bidi="ar-SA"/>
        </w:rPr>
        <w:t>% в соответствии с СЗ ПАО "РусГидро" № 4057.38 от 02.06.2025.</w:t>
      </w:r>
    </w:p>
    <w:p>
      <w:pPr>
        <w:pStyle w:val="Normal"/>
        <w:widowControl/>
        <w:numPr>
          <w:ilvl w:val="0"/>
          <w:numId w:val="8"/>
        </w:numPr>
        <w:tabs>
          <w:tab w:val="clear" w:pos="708"/>
          <w:tab w:val="left" w:pos="284" w:leader="none"/>
          <w:tab w:val="left" w:pos="1134" w:leader="none"/>
        </w:tabs>
        <w:snapToGrid w:val="true"/>
        <w:ind w:left="0" w:hanging="0"/>
        <w:rPr>
          <w:rFonts w:cs="Times New Roman"/>
          <w:szCs w:val="24"/>
          <w:lang w:eastAsia="ru-RU" w:bidi="ar-SA"/>
        </w:rPr>
      </w:pPr>
      <w:r>
        <w:rPr>
          <w:rFonts w:cs="Times New Roman"/>
          <w:szCs w:val="24"/>
          <w:lang w:eastAsia="ru-RU" w:bidi="ar-SA"/>
        </w:rPr>
        <w:t xml:space="preserve">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«Показатели часовой оплаты труда» (далее - ТС 2001), внесенного в ФРСН. </w:t>
      </w:r>
    </w:p>
    <w:p>
      <w:pPr>
        <w:pStyle w:val="Normal"/>
        <w:widowControl/>
        <w:tabs>
          <w:tab w:val="clear" w:pos="708"/>
          <w:tab w:val="left" w:pos="993" w:leader="none"/>
        </w:tabs>
        <w:snapToGrid w:val="true"/>
        <w:ind w:hanging="0"/>
        <w:rPr>
          <w:rFonts w:cs="Times New Roman"/>
          <w:color w:val="auto"/>
          <w:szCs w:val="24"/>
          <w:lang w:eastAsia="ru-RU" w:bidi="ar-SA"/>
        </w:rPr>
      </w:pPr>
      <w:r>
        <w:rPr>
          <w:rFonts w:cs="Arial"/>
          <w:color w:val="auto"/>
          <w:szCs w:val="24"/>
          <w:lang w:eastAsia="ru-RU" w:bidi="ar-SA"/>
        </w:rPr>
        <w:t xml:space="preserve">Нормы накладных расходов и сметной прибыли определять на основании </w:t>
      </w:r>
      <w:r>
        <w:rPr>
          <w:rFonts w:cs="Times New Roman"/>
          <w:color w:val="auto"/>
          <w:szCs w:val="24"/>
          <w:lang w:eastAsia="ru-RU" w:bidi="ar-SA"/>
        </w:rPr>
        <w:t>нормативных документов, внесенных в Федеральный реестр сметных нормативов.</w:t>
      </w:r>
    </w:p>
    <w:p>
      <w:pPr>
        <w:pStyle w:val="Normal"/>
        <w:widowControl/>
        <w:tabs>
          <w:tab w:val="clear" w:pos="708"/>
          <w:tab w:val="left" w:pos="993" w:leader="none"/>
        </w:tabs>
        <w:snapToGrid w:val="true"/>
        <w:ind w:hanging="0"/>
        <w:rPr>
          <w:rFonts w:cs="Times New Roman"/>
          <w:color w:val="auto"/>
          <w:szCs w:val="24"/>
          <w:lang w:eastAsia="ru-RU" w:bidi="ar-SA"/>
        </w:rPr>
      </w:pPr>
      <w:r>
        <w:rPr>
          <w:rFonts w:cs="Times New Roman"/>
          <w:color w:val="auto"/>
          <w:szCs w:val="24"/>
          <w:lang w:eastAsia="ru-RU" w:bidi="ar-SA"/>
        </w:rPr>
        <w:t>Коэффициенты, учитывающие условия производства работ, применять согласно общим положениям «Общей части» к ЕНиР и ВНиР, утвержденным постановлением Госстроя СССР от 05.12.1986 №43/512/29-50.</w:t>
      </w:r>
    </w:p>
    <w:p>
      <w:pPr>
        <w:pStyle w:val="Normal"/>
        <w:widowControl/>
        <w:numPr>
          <w:ilvl w:val="0"/>
          <w:numId w:val="8"/>
        </w:numPr>
        <w:tabs>
          <w:tab w:val="clear" w:pos="708"/>
          <w:tab w:val="left" w:pos="709" w:leader="none"/>
        </w:tabs>
        <w:snapToGrid w:val="true"/>
        <w:spacing w:before="0" w:after="0"/>
        <w:ind w:left="0" w:hanging="0"/>
        <w:contextualSpacing/>
        <w:rPr>
          <w:rFonts w:cs="Times New Roman"/>
          <w:szCs w:val="24"/>
          <w:lang w:eastAsia="ru-RU" w:bidi="ar-SA"/>
        </w:rPr>
      </w:pPr>
      <w:r>
        <w:rPr>
          <w:rFonts w:cs="Times New Roman"/>
          <w:color w:val="auto"/>
          <w:szCs w:val="24"/>
          <w:lang w:eastAsia="ru-RU" w:bidi="ar-SA"/>
        </w:rPr>
        <w:t>Стоимость материально-технических ресурсов (далее–МТР), не учтенных в расценках, определять по сборнику ФССЦ, сметно-нормативной базы «ГЭСН-2020, ФЕР-2020 (с Изм. 1-9)».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допускается определять стоимость как среднерыночную по региону расположения Филиала ПАО «РусГидро», при этом среднерыночная цена формируется Методом анализа ТКП в соответствии с Приложением №3 к Требованиям к оформлению и составлению сметной документации по ценообразованию. Сметная стоимость материальных ресурсов и индивидуального стандартизированного (адаптированного) оборудования в текущем уровне цен, информация о которых отсутствует в ФРСН, определяется с учетом транспортных и заготовительно-складских затрат.</w:t>
      </w:r>
      <w:r>
        <w:rPr>
          <w:rFonts w:cs="Times New Roman"/>
          <w:color w:val="FF0000"/>
          <w:szCs w:val="24"/>
          <w:lang w:eastAsia="ru-RU" w:bidi="ar-SA"/>
        </w:rPr>
        <w:t xml:space="preserve"> </w:t>
      </w:r>
    </w:p>
    <w:p>
      <w:pPr>
        <w:pStyle w:val="Normal"/>
        <w:widowControl/>
        <w:numPr>
          <w:ilvl w:val="0"/>
          <w:numId w:val="8"/>
        </w:numPr>
        <w:tabs>
          <w:tab w:val="clear" w:pos="708"/>
          <w:tab w:val="left" w:pos="567" w:leader="none"/>
        </w:tabs>
        <w:snapToGrid w:val="true"/>
        <w:ind w:left="0" w:hanging="0"/>
        <w:rPr>
          <w:rFonts w:cs="Times New Roman"/>
          <w:color w:val="auto"/>
          <w:szCs w:val="24"/>
          <w:lang w:eastAsia="ru-RU" w:bidi="ar-SA"/>
        </w:rPr>
      </w:pPr>
      <w:r>
        <w:rPr>
          <w:rFonts w:cs="Times New Roman"/>
          <w:color w:val="auto"/>
          <w:szCs w:val="24"/>
          <w:lang w:eastAsia="ru-RU" w:bidi="ar-SA"/>
        </w:rPr>
        <w:t>Транспортная составляющая сметной цены на материалы/оборудование определяется на основе:</w:t>
      </w:r>
    </w:p>
    <w:p>
      <w:pPr>
        <w:pStyle w:val="Normal"/>
        <w:widowControl/>
        <w:numPr>
          <w:ilvl w:val="0"/>
          <w:numId w:val="7"/>
        </w:numPr>
        <w:tabs>
          <w:tab w:val="clear" w:pos="708"/>
          <w:tab w:val="left" w:pos="426" w:leader="none"/>
          <w:tab w:val="left" w:pos="993" w:leader="none"/>
        </w:tabs>
        <w:snapToGrid w:val="true"/>
        <w:ind w:left="0" w:hanging="0"/>
        <w:rPr>
          <w:rFonts w:cs="Times New Roman"/>
          <w:color w:val="auto"/>
          <w:szCs w:val="24"/>
          <w:lang w:eastAsia="ru-RU" w:bidi="ar-SA"/>
        </w:rPr>
      </w:pPr>
      <w:r>
        <w:rPr>
          <w:rFonts w:cs="Times New Roman"/>
          <w:color w:val="auto"/>
          <w:szCs w:val="24"/>
          <w:lang w:eastAsia="ru-RU" w:bidi="ar-SA"/>
        </w:rPr>
        <w:t>фиксированной надбавки к усредненной отпускной цене на любой вид или на соответствующий вид (группу) материалов в размере 5%-для материалов, 4,2%-для вспомогательного оборудования (с учетом заготовительно-складских расходов);</w:t>
      </w:r>
    </w:p>
    <w:p>
      <w:pPr>
        <w:pStyle w:val="Normal"/>
        <w:widowControl/>
        <w:numPr>
          <w:ilvl w:val="0"/>
          <w:numId w:val="7"/>
        </w:numPr>
        <w:tabs>
          <w:tab w:val="clear" w:pos="708"/>
          <w:tab w:val="left" w:pos="426" w:leader="none"/>
          <w:tab w:val="left" w:pos="993" w:leader="none"/>
        </w:tabs>
        <w:snapToGrid w:val="true"/>
        <w:ind w:left="0" w:hanging="0"/>
        <w:rPr>
          <w:rFonts w:cs="Times New Roman"/>
          <w:color w:val="auto"/>
          <w:szCs w:val="24"/>
          <w:lang w:eastAsia="ru-RU" w:bidi="ar-SA"/>
        </w:rPr>
      </w:pPr>
      <w:r>
        <w:rPr>
          <w:rFonts w:cs="Times New Roman"/>
          <w:color w:val="auto"/>
          <w:szCs w:val="24"/>
          <w:lang w:eastAsia="ru-RU" w:bidi="ar-SA"/>
        </w:rPr>
        <w:t>при значительном превышении (уменьшении) фактической стоимости доставки по сравнению с затратами, определенными фиксированными транспортными надбавками в размере 5% и 4,2% соответственно, транспортные расходы учитываются,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согласованных Заказчиком.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p>
    <w:p>
      <w:pPr>
        <w:pStyle w:val="Normal"/>
        <w:tabs>
          <w:tab w:val="clear" w:pos="708"/>
          <w:tab w:val="left" w:pos="993" w:leader="none"/>
        </w:tabs>
        <w:snapToGrid w:val="true"/>
        <w:ind w:hanging="0"/>
        <w:rPr>
          <w:rFonts w:cs="Times New Roman"/>
          <w:color w:val="auto"/>
          <w:szCs w:val="24"/>
          <w:lang w:eastAsia="ru-RU" w:bidi="ar-SA"/>
        </w:rPr>
      </w:pPr>
      <w:r>
        <w:rPr>
          <w:rFonts w:cs="Times New Roman"/>
          <w:color w:val="auto"/>
          <w:szCs w:val="24"/>
          <w:lang w:eastAsia="ru-RU" w:bidi="ar-SA"/>
        </w:rPr>
        <w:t>В случае, если транспортировка осуществляется заказчиком самостоятельно (самовывоз), данный показатель не учитывается.</w:t>
      </w:r>
    </w:p>
    <w:p>
      <w:pPr>
        <w:pStyle w:val="Normal"/>
        <w:widowControl/>
        <w:numPr>
          <w:ilvl w:val="0"/>
          <w:numId w:val="8"/>
        </w:numPr>
        <w:tabs>
          <w:tab w:val="clear" w:pos="708"/>
          <w:tab w:val="left" w:pos="284"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Затраты на эксплуатацию строительной техники, не учтенной нормами и расценками, включенными в ФРСН, определяются Методом анализа ТКП в соответствии с Приложением №3 и включаются в Главу 9 ССРСС.</w:t>
      </w:r>
    </w:p>
    <w:p>
      <w:pPr>
        <w:pStyle w:val="Normal"/>
        <w:widowControl/>
        <w:numPr>
          <w:ilvl w:val="0"/>
          <w:numId w:val="8"/>
        </w:numPr>
        <w:tabs>
          <w:tab w:val="clear" w:pos="708"/>
          <w:tab w:val="left" w:pos="284" w:leader="none"/>
          <w:tab w:val="left" w:pos="567"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pPr>
        <w:pStyle w:val="Normal"/>
        <w:widowControl/>
        <w:numPr>
          <w:ilvl w:val="0"/>
          <w:numId w:val="8"/>
        </w:numPr>
        <w:tabs>
          <w:tab w:val="clear" w:pos="708"/>
          <w:tab w:val="left" w:pos="284" w:leader="none"/>
          <w:tab w:val="left" w:pos="567" w:leader="none"/>
          <w:tab w:val="left" w:pos="1134" w:leader="none"/>
        </w:tabs>
        <w:snapToGrid w:val="true"/>
        <w:ind w:left="0" w:hanging="0"/>
        <w:rPr>
          <w:rFonts w:cs="Times New Roman"/>
          <w:szCs w:val="24"/>
          <w:lang w:eastAsia="ru-RU" w:bidi="ar-SA"/>
        </w:rPr>
      </w:pPr>
      <w:r>
        <w:rPr>
          <w:rFonts w:cs="Times New Roman"/>
          <w:color w:val="auto"/>
          <w:szCs w:val="24"/>
          <w:lang w:eastAsia="ru-RU" w:bidi="ar-SA"/>
        </w:rPr>
        <w:t>Поправочные коэффициенты из технической части к расценкам (например, на демонтаж или</w:t>
      </w:r>
      <w:r>
        <w:rPr>
          <w:rFonts w:cs="Times New Roman"/>
          <w:szCs w:val="24"/>
          <w:lang w:eastAsia="ru-RU" w:bidi="ar-SA"/>
        </w:rPr>
        <w:t xml:space="preserve"> для учета особых условий выполнения работ) учитываются индивидуально для каждой позиции и в выходных формах при выгрузке в формат «Excel» и указываются попозиционно.</w:t>
      </w:r>
    </w:p>
    <w:p>
      <w:pPr>
        <w:pStyle w:val="Normal"/>
        <w:widowControl/>
        <w:numPr>
          <w:ilvl w:val="0"/>
          <w:numId w:val="8"/>
        </w:numPr>
        <w:tabs>
          <w:tab w:val="clear" w:pos="708"/>
          <w:tab w:val="left" w:pos="284" w:leader="none"/>
          <w:tab w:val="left" w:pos="567"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подряда.</w:t>
      </w:r>
    </w:p>
    <w:p>
      <w:pPr>
        <w:pStyle w:val="Normal"/>
        <w:widowControl/>
        <w:numPr>
          <w:ilvl w:val="0"/>
          <w:numId w:val="8"/>
        </w:numPr>
        <w:tabs>
          <w:tab w:val="clear" w:pos="708"/>
          <w:tab w:val="left" w:pos="284" w:leader="none"/>
          <w:tab w:val="left" w:pos="567"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В ЛСР (ЛС)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ФРСН.</w:t>
      </w:r>
    </w:p>
    <w:p>
      <w:pPr>
        <w:pStyle w:val="Normal"/>
        <w:widowControl/>
        <w:numPr>
          <w:ilvl w:val="0"/>
          <w:numId w:val="8"/>
        </w:numPr>
        <w:tabs>
          <w:tab w:val="clear" w:pos="708"/>
          <w:tab w:val="left" w:pos="284" w:leader="none"/>
          <w:tab w:val="left" w:pos="567"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В ЛСР (ЛС) указывать величину сметной прибыли по видам строительных, ремонтно- строительных, монтажных и пусконаладочных работ, на основании актуальных нормативных документов, внесенных в ФРСН.</w:t>
      </w:r>
    </w:p>
    <w:p>
      <w:pPr>
        <w:pStyle w:val="Normal"/>
        <w:widowControl/>
        <w:numPr>
          <w:ilvl w:val="0"/>
          <w:numId w:val="8"/>
        </w:numPr>
        <w:tabs>
          <w:tab w:val="clear" w:pos="708"/>
          <w:tab w:val="left" w:pos="567" w:leader="none"/>
          <w:tab w:val="left" w:pos="1134" w:leader="none"/>
        </w:tabs>
        <w:snapToGrid w:val="true"/>
        <w:ind w:left="0" w:hanging="0"/>
        <w:rPr>
          <w:rFonts w:cs="Times New Roman"/>
          <w:szCs w:val="24"/>
          <w:lang w:eastAsia="ru-RU" w:bidi="ar-SA"/>
        </w:rPr>
      </w:pPr>
      <w:r>
        <w:rPr>
          <w:rFonts w:cs="Times New Roman"/>
          <w:color w:val="auto"/>
          <w:szCs w:val="24"/>
          <w:lang w:eastAsia="ru-RU" w:bidi="ar-SA"/>
        </w:rPr>
        <w:t xml:space="preserve">При необходимости расчет стоимости пусконаладочных работ оформлять отдельной ЛС, составленной базисно-индексным методом по Федеральным единичным расценкам на пусконаладочные работы, сметно-нормативной базы «ГЭСН-2020, ФЕР-2020 (с Изм. 1-9)». Сметную стоимость пусконаладочных работ определять полным комплексом без разделения работ «вхолостую» и «под нагрузкой». Затраты на проведение пусконаладочных работ включаются в Главу 9 «Прочие работы и затраты» (графы 7 и 8) сводного сметного расчета. В случае необходимости Данные работы оформляются отдельными локальными сметами в соответствии </w:t>
      </w:r>
      <w:r>
        <w:rPr>
          <w:rFonts w:cs="Times New Roman"/>
          <w:szCs w:val="24"/>
          <w:lang w:eastAsia="ru-RU" w:bidi="ar-SA"/>
        </w:rPr>
        <w:t xml:space="preserve">с Приложением № 1.3. </w:t>
      </w:r>
    </w:p>
    <w:p>
      <w:pPr>
        <w:pStyle w:val="Normal"/>
        <w:widowControl/>
        <w:numPr>
          <w:ilvl w:val="0"/>
          <w:numId w:val="8"/>
        </w:numPr>
        <w:tabs>
          <w:tab w:val="clear" w:pos="708"/>
          <w:tab w:val="left" w:pos="284" w:leader="none"/>
          <w:tab w:val="left" w:pos="567"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Стоимость шеф - монтажных и шеф - наладочных работ включается в сметную стоимость оборудования и может определяться отдельными расчетами. Расчет стоимости шеф - монтажных работ выполняется по форме 3П с предоставлением подтверждающих документов по уровню заработной платы, удельному весу накладных расходов в себестоимости, уровню рентабельности (образец формы расчета представлен в Приложении № 2 к Требованиям к оформлению и составлению сметной документации по ценообразованию. Участник (подрядчик, контрагент) представляет смету на шеф-монтажные работы в соответствии с графиком выполнения работ.</w:t>
      </w:r>
    </w:p>
    <w:p>
      <w:pPr>
        <w:pStyle w:val="Normal"/>
        <w:widowControl/>
        <w:numPr>
          <w:ilvl w:val="0"/>
          <w:numId w:val="8"/>
        </w:numPr>
        <w:tabs>
          <w:tab w:val="clear" w:pos="708"/>
          <w:tab w:val="left" w:pos="284" w:leader="none"/>
          <w:tab w:val="left" w:pos="709" w:leader="none"/>
        </w:tabs>
        <w:snapToGrid w:val="true"/>
        <w:ind w:left="0" w:hanging="0"/>
        <w:rPr>
          <w:rFonts w:cs="Times New Roman"/>
          <w:color w:val="auto"/>
          <w:szCs w:val="24"/>
          <w:lang w:eastAsia="ru-RU" w:bidi="ar-SA"/>
        </w:rPr>
      </w:pPr>
      <w:r>
        <w:rPr>
          <w:rFonts w:cs="Times New Roman"/>
          <w:color w:val="auto"/>
          <w:szCs w:val="24"/>
          <w:lang w:eastAsia="ru-RU" w:bidi="ar-SA"/>
        </w:rPr>
        <w:t>При необходимости учета командировочных расходов в сметной документации составляется расчет. Размер суточных командировочных расходов определять в соответствии с Федеральным законодательством и с учетом норм, определяемых внутренним документом организации.</w:t>
      </w:r>
    </w:p>
    <w:p>
      <w:pPr>
        <w:pStyle w:val="Normal"/>
        <w:widowControl/>
        <w:tabs>
          <w:tab w:val="clear" w:pos="708"/>
          <w:tab w:val="left" w:pos="284" w:leader="none"/>
          <w:tab w:val="left" w:pos="709" w:leader="none"/>
          <w:tab w:val="left" w:pos="851" w:leader="none"/>
        </w:tabs>
        <w:snapToGrid w:val="true"/>
        <w:ind w:hanging="0"/>
        <w:rPr>
          <w:rFonts w:cs="Times New Roman"/>
          <w:color w:val="auto"/>
          <w:szCs w:val="24"/>
          <w:lang w:eastAsia="ru-RU" w:bidi="ar-SA"/>
        </w:rPr>
      </w:pPr>
      <w:r>
        <w:rPr>
          <w:rFonts w:cs="Times New Roman"/>
          <w:color w:val="auto"/>
          <w:szCs w:val="24"/>
          <w:lang w:eastAsia="ru-RU" w:bidi="ar-SA"/>
        </w:rPr>
        <w:t>Лимиты командировочных расходов при производстве СМР и ПНР на 2025 год по статьям затрат следующие:</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суточные - 700 руб./сутки;</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проживание – 500 руб./сутки;</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проезд: поезд (купе) или самолет (класс–эконом с багажом до 20 (двадцати) кг, ручная кладь до 10 (десяти) кг).</w:t>
      </w:r>
    </w:p>
    <w:p>
      <w:pPr>
        <w:pStyle w:val="Normal"/>
        <w:widowControl/>
        <w:numPr>
          <w:ilvl w:val="0"/>
          <w:numId w:val="8"/>
        </w:numPr>
        <w:tabs>
          <w:tab w:val="clear" w:pos="708"/>
          <w:tab w:val="left" w:pos="709" w:leader="none"/>
        </w:tabs>
        <w:snapToGrid w:val="true"/>
        <w:ind w:left="0" w:hanging="0"/>
        <w:jc w:val="left"/>
        <w:rPr>
          <w:rFonts w:cs="Times New Roman"/>
          <w:color w:val="auto"/>
          <w:szCs w:val="24"/>
          <w:lang w:eastAsia="ru-RU" w:bidi="ar-SA"/>
        </w:rPr>
      </w:pPr>
      <w:r>
        <w:rPr>
          <w:rFonts w:cs="Times New Roman"/>
          <w:color w:val="auto"/>
          <w:szCs w:val="24"/>
          <w:lang w:eastAsia="ru-RU" w:bidi="ar-SA"/>
        </w:rPr>
        <w:t xml:space="preserve">В ЛСР построчные и итоговые суммы </w:t>
      </w:r>
      <w:r>
        <w:rPr>
          <w:rFonts w:cs="Times New Roman"/>
          <w:b/>
          <w:color w:val="auto"/>
          <w:szCs w:val="24"/>
          <w:u w:val="single"/>
          <w:lang w:eastAsia="ru-RU" w:bidi="ar-SA"/>
        </w:rPr>
        <w:t>округлять:</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при базисно-индексном методе до двух знаков после запятой (до копеек).</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в объектных сметных расчетах (сметах), сводном сметном расчете и сводке затрат - в рублях до двух знаков после запятой. Величину НДС не указывать.</w:t>
      </w:r>
    </w:p>
    <w:p>
      <w:pPr>
        <w:pStyle w:val="Normal"/>
        <w:widowControl/>
        <w:numPr>
          <w:ilvl w:val="0"/>
          <w:numId w:val="8"/>
        </w:numPr>
        <w:tabs>
          <w:tab w:val="clear" w:pos="708"/>
          <w:tab w:val="left" w:pos="709" w:leader="none"/>
          <w:tab w:val="left" w:pos="1134" w:leader="none"/>
          <w:tab w:val="left" w:pos="1418" w:leader="none"/>
        </w:tabs>
        <w:snapToGrid w:val="true"/>
        <w:ind w:left="0" w:hanging="0"/>
        <w:rPr>
          <w:rFonts w:cs="Times New Roman"/>
          <w:color w:val="auto"/>
          <w:szCs w:val="24"/>
          <w:lang w:eastAsia="ru-RU" w:bidi="ar-SA"/>
        </w:rPr>
      </w:pPr>
      <w:r>
        <w:rPr>
          <w:rFonts w:cs="Times New Roman"/>
          <w:szCs w:val="24"/>
          <w:lang w:eastAsia="ru-RU" w:bidi="ar-SA"/>
        </w:rPr>
        <w:t>Выходные</w:t>
      </w:r>
      <w:r>
        <w:rPr>
          <w:rFonts w:cs="Times New Roman"/>
          <w:color w:val="auto"/>
          <w:szCs w:val="24"/>
          <w:lang w:eastAsia="ru-RU" w:bidi="ar-SA"/>
        </w:rPr>
        <w:t xml:space="preserve"> формы сметных расчетов должны соответствовать Образцу согласно Приложению 1.3.</w:t>
      </w:r>
    </w:p>
    <w:p>
      <w:pPr>
        <w:pStyle w:val="Normal"/>
        <w:widowControl/>
        <w:numPr>
          <w:ilvl w:val="0"/>
          <w:numId w:val="8"/>
        </w:numPr>
        <w:tabs>
          <w:tab w:val="clear" w:pos="708"/>
          <w:tab w:val="left" w:pos="709" w:leader="none"/>
        </w:tabs>
        <w:snapToGrid w:val="true"/>
        <w:ind w:left="0" w:hanging="0"/>
        <w:rPr>
          <w:rFonts w:cs="Times New Roman"/>
          <w:color w:val="auto"/>
          <w:szCs w:val="24"/>
          <w:lang w:eastAsia="ru-RU" w:bidi="ar-SA"/>
        </w:rPr>
      </w:pPr>
      <w:r>
        <w:rPr>
          <w:rFonts w:cs="Times New Roman"/>
          <w:color w:val="auto"/>
          <w:szCs w:val="24"/>
          <w:lang w:eastAsia="ru-RU" w:bidi="ar-SA"/>
        </w:rPr>
        <w:t>В связи с предоставлением Заказчиком услуг, указанных в разделе Технических требований «Иные условия поставки товаров, выполнения работ, оказания услуг»</w:t>
      </w:r>
      <w:r>
        <w:rPr>
          <w:rStyle w:val="FootnoteReference"/>
          <w:rFonts w:cs="Times New Roman"/>
          <w:color w:val="auto"/>
          <w:szCs w:val="24"/>
          <w:vertAlign w:val="superscript"/>
          <w:lang w:eastAsia="ru-RU" w:bidi="ar-SA"/>
        </w:rPr>
        <w:footnoteReference w:id="2"/>
      </w:r>
      <w:r>
        <w:rPr>
          <w:rFonts w:cs="Times New Roman"/>
          <w:color w:val="auto"/>
          <w:szCs w:val="24"/>
          <w:lang w:eastAsia="ru-RU" w:bidi="ar-SA"/>
        </w:rPr>
        <w:t>:</w:t>
      </w:r>
    </w:p>
    <w:p>
      <w:pPr>
        <w:pStyle w:val="Normal"/>
        <w:widowControl/>
        <w:numPr>
          <w:ilvl w:val="1"/>
          <w:numId w:val="8"/>
        </w:numPr>
        <w:tabs>
          <w:tab w:val="clear" w:pos="708"/>
          <w:tab w:val="left" w:pos="709" w:leader="none"/>
          <w:tab w:val="left" w:pos="1560" w:leader="none"/>
        </w:tabs>
        <w:snapToGrid w:val="true"/>
        <w:ind w:left="0" w:hanging="0"/>
        <w:rPr>
          <w:rFonts w:cs="Times New Roman"/>
          <w:color w:val="auto"/>
          <w:szCs w:val="24"/>
          <w:lang w:eastAsia="ru-RU" w:bidi="ar-SA"/>
        </w:rPr>
      </w:pPr>
      <w:r>
        <w:rPr>
          <w:rFonts w:cs="Times New Roman"/>
          <w:color w:val="auto"/>
          <w:szCs w:val="24"/>
          <w:lang w:eastAsia="ru-RU" w:bidi="ar-SA"/>
        </w:rPr>
        <w:t xml:space="preserve">В </w:t>
      </w:r>
      <w:r>
        <w:rPr>
          <w:rFonts w:cs="Times New Roman"/>
          <w:szCs w:val="24"/>
          <w:lang w:eastAsia="ru-RU" w:bidi="ar-SA"/>
        </w:rPr>
        <w:t>сметной</w:t>
      </w:r>
      <w:r>
        <w:rPr>
          <w:rFonts w:cs="Times New Roman"/>
          <w:color w:val="auto"/>
          <w:szCs w:val="24"/>
          <w:lang w:eastAsia="ru-RU" w:bidi="ar-SA"/>
        </w:rPr>
        <w:t xml:space="preserve"> документации при определении стоимости работ по расценкам, указанным в сборниках «Базовых цен на работы по ремонту энергетического оборудования», затраты на услуги, предоставляемые Заказчиком подрядным организациям не учитывать. </w:t>
      </w:r>
    </w:p>
    <w:p>
      <w:pPr>
        <w:pStyle w:val="Normal"/>
        <w:widowControl/>
        <w:numPr>
          <w:ilvl w:val="1"/>
          <w:numId w:val="8"/>
        </w:numPr>
        <w:tabs>
          <w:tab w:val="clear" w:pos="708"/>
          <w:tab w:val="left" w:pos="709" w:leader="none"/>
          <w:tab w:val="left" w:pos="1560" w:leader="none"/>
        </w:tabs>
        <w:snapToGrid w:val="true"/>
        <w:ind w:left="0" w:hanging="0"/>
        <w:rPr>
          <w:rFonts w:cs="Times New Roman"/>
          <w:color w:val="auto"/>
          <w:szCs w:val="24"/>
          <w:lang w:eastAsia="ru-RU" w:bidi="ar-SA"/>
        </w:rPr>
      </w:pPr>
      <w:r>
        <w:rPr>
          <w:rFonts w:cs="Times New Roman"/>
          <w:color w:val="auto"/>
          <w:szCs w:val="24"/>
          <w:lang w:eastAsia="ru-RU" w:bidi="ar-SA"/>
        </w:rPr>
        <w:t>Из норм и расценок, внесенных в ФРСН, при составлении сметной документации исключать затраты:</w:t>
      </w:r>
    </w:p>
    <w:p>
      <w:pPr>
        <w:pStyle w:val="Normal"/>
        <w:widowControl/>
        <w:numPr>
          <w:ilvl w:val="2"/>
          <w:numId w:val="8"/>
        </w:numPr>
        <w:tabs>
          <w:tab w:val="clear" w:pos="708"/>
          <w:tab w:val="left" w:pos="709" w:leader="none"/>
          <w:tab w:val="left" w:pos="1701" w:leader="none"/>
        </w:tabs>
        <w:snapToGrid w:val="true"/>
        <w:ind w:left="0" w:hanging="0"/>
        <w:rPr>
          <w:rFonts w:cs="Times New Roman"/>
          <w:color w:val="auto"/>
          <w:szCs w:val="24"/>
          <w:lang w:eastAsia="ru-RU" w:bidi="ar-SA"/>
        </w:rPr>
      </w:pPr>
      <w:r>
        <w:rPr>
          <w:rFonts w:cs="Times New Roman"/>
          <w:color w:val="auto"/>
          <w:szCs w:val="24"/>
          <w:lang w:eastAsia="ru-RU" w:bidi="ar-SA"/>
        </w:rPr>
        <w:t>По предоставляемым грузоподъемным механизмам, учтенным в составе сметных норм и расценок:</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jc w:val="left"/>
        <w:rPr>
          <w:rFonts w:cs="Times New Roman"/>
          <w:color w:val="auto"/>
          <w:szCs w:val="24"/>
          <w:lang w:eastAsia="ru-RU" w:bidi="ar-SA"/>
        </w:rPr>
      </w:pPr>
      <w:r>
        <w:rPr>
          <w:rFonts w:cs="Times New Roman"/>
          <w:color w:val="auto"/>
          <w:szCs w:val="24"/>
          <w:lang w:eastAsia="ru-RU" w:bidi="ar-SA"/>
        </w:rPr>
        <w:t xml:space="preserve">Исключать из норм и расценок предоставляемые грузоподъемные механизмы. </w:t>
      </w:r>
    </w:p>
    <w:p>
      <w:pPr>
        <w:pStyle w:val="Normal"/>
        <w:widowControl/>
        <w:tabs>
          <w:tab w:val="clear" w:pos="708"/>
          <w:tab w:val="left" w:pos="709" w:leader="none"/>
          <w:tab w:val="left" w:pos="851" w:leader="none"/>
          <w:tab w:val="left" w:pos="1418" w:leader="none"/>
        </w:tabs>
        <w:snapToGrid w:val="true"/>
        <w:ind w:hanging="0"/>
        <w:rPr>
          <w:rFonts w:cs="Times New Roman"/>
          <w:color w:val="auto"/>
          <w:szCs w:val="24"/>
          <w:lang w:eastAsia="ru-RU" w:bidi="ar-SA"/>
        </w:rPr>
      </w:pPr>
      <w:r>
        <w:rPr>
          <w:rFonts w:cs="Times New Roman"/>
          <w:color w:val="auto"/>
          <w:szCs w:val="24"/>
          <w:lang w:eastAsia="ru-RU" w:bidi="ar-SA"/>
        </w:rPr>
        <w:t>В случае использования подрядчиком собственных/арендованных механизмов полностью, либо частично, для выполнения конкретной работы на строительной площадке, из расценки на выполнение данных работ грузоподъемные механизмы не исключаются</w:t>
      </w:r>
    </w:p>
    <w:p>
      <w:pPr>
        <w:pStyle w:val="Normal"/>
        <w:widowControl/>
        <w:numPr>
          <w:ilvl w:val="2"/>
          <w:numId w:val="8"/>
        </w:numPr>
        <w:tabs>
          <w:tab w:val="clear" w:pos="708"/>
          <w:tab w:val="left" w:pos="709" w:leader="none"/>
          <w:tab w:val="left" w:pos="1134" w:leader="none"/>
          <w:tab w:val="left" w:pos="1701" w:leader="none"/>
        </w:tabs>
        <w:snapToGrid w:val="true"/>
        <w:ind w:left="0" w:hanging="0"/>
        <w:jc w:val="left"/>
        <w:rPr>
          <w:rFonts w:cs="Times New Roman"/>
          <w:color w:val="auto"/>
          <w:szCs w:val="24"/>
          <w:lang w:eastAsia="ru-RU" w:bidi="ar-SA"/>
        </w:rPr>
      </w:pPr>
      <w:r>
        <w:rPr>
          <w:rFonts w:cs="Times New Roman"/>
          <w:color w:val="auto"/>
          <w:szCs w:val="24"/>
          <w:lang w:eastAsia="ru-RU" w:bidi="ar-SA"/>
        </w:rPr>
        <w:t>По предоставляемой электроэнергии (в том числе, в составе стоимости машино-часа):</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jc w:val="left"/>
        <w:rPr>
          <w:rFonts w:cs="Times New Roman"/>
          <w:color w:val="auto"/>
          <w:szCs w:val="24"/>
          <w:lang w:eastAsia="ru-RU" w:bidi="ar-SA"/>
        </w:rPr>
      </w:pPr>
      <w:r>
        <w:rPr>
          <w:rFonts w:cs="Times New Roman"/>
          <w:color w:val="auto"/>
          <w:szCs w:val="24"/>
          <w:lang w:eastAsia="ru-RU" w:bidi="ar-SA"/>
        </w:rPr>
        <w:t>Рассчитанная сумма возврата стоимости электрической энергии (со знаком «–») учитывается в последней главе ССРСС, где имеется смета на СМР (как правило, в главах 1-7, если затраты по главе 8 определены на основании смет, то сумма возврата стоимости электрической энергии учитывается в главе 8)</w:t>
      </w:r>
      <w:r>
        <w:rPr>
          <w:rStyle w:val="FootnoteReference"/>
          <w:rFonts w:cs="Times New Roman"/>
          <w:color w:val="auto"/>
          <w:szCs w:val="24"/>
          <w:lang w:eastAsia="ru-RU" w:bidi="ar-SA"/>
        </w:rPr>
        <w:footnoteReference w:id="3"/>
      </w:r>
      <w:r>
        <w:rPr>
          <w:rFonts w:cs="Times New Roman"/>
          <w:color w:val="auto"/>
          <w:szCs w:val="24"/>
          <w:lang w:eastAsia="ru-RU" w:bidi="ar-SA"/>
        </w:rPr>
        <w:t xml:space="preserve">. </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jc w:val="left"/>
        <w:rPr>
          <w:rFonts w:cs="Times New Roman"/>
          <w:color w:val="auto"/>
          <w:szCs w:val="24"/>
          <w:lang w:eastAsia="ru-RU" w:bidi="ar-SA"/>
        </w:rPr>
      </w:pPr>
      <w:r>
        <w:rPr>
          <w:rFonts w:cs="Times New Roman"/>
          <w:color w:val="auto"/>
          <w:szCs w:val="24"/>
          <w:lang w:eastAsia="ru-RU" w:bidi="ar-SA"/>
        </w:rPr>
        <w:t>Индекс пересчета в текущие цены применять аналогичный примененному в сметной документации.</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jc w:val="left"/>
        <w:rPr>
          <w:rFonts w:cs="Times New Roman"/>
          <w:color w:val="auto"/>
          <w:szCs w:val="24"/>
          <w:lang w:eastAsia="ru-RU" w:bidi="ar-SA"/>
        </w:rPr>
      </w:pPr>
      <w:r>
        <w:rPr>
          <w:rFonts w:cs="Times New Roman"/>
          <w:color w:val="auto"/>
          <w:szCs w:val="24"/>
          <w:lang w:eastAsia="ru-RU" w:bidi="ar-SA"/>
        </w:rPr>
        <w:t>При применении индексов по статьям затрат в сметной документации для данного ресурса применять индекс на материалы.</w:t>
      </w:r>
    </w:p>
    <w:p>
      <w:pPr>
        <w:pStyle w:val="Normal"/>
        <w:widowControl/>
        <w:numPr>
          <w:ilvl w:val="2"/>
          <w:numId w:val="8"/>
        </w:numPr>
        <w:tabs>
          <w:tab w:val="clear" w:pos="708"/>
          <w:tab w:val="left" w:pos="709" w:leader="none"/>
          <w:tab w:val="left" w:pos="1134" w:leader="none"/>
          <w:tab w:val="left" w:pos="1701" w:leader="none"/>
        </w:tabs>
        <w:snapToGrid w:val="true"/>
        <w:ind w:left="0" w:hanging="0"/>
        <w:jc w:val="left"/>
        <w:rPr>
          <w:rFonts w:cs="Times New Roman"/>
          <w:color w:val="auto"/>
          <w:szCs w:val="24"/>
          <w:lang w:eastAsia="ru-RU" w:bidi="ar-SA"/>
        </w:rPr>
      </w:pPr>
      <w:r>
        <w:rPr>
          <w:rFonts w:cs="Times New Roman"/>
          <w:color w:val="auto"/>
          <w:szCs w:val="24"/>
          <w:lang w:eastAsia="ru-RU" w:bidi="ar-SA"/>
        </w:rPr>
        <w:t>По предоставляемому сжатому воздуху:</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jc w:val="left"/>
        <w:rPr>
          <w:rFonts w:cs="Times New Roman"/>
          <w:color w:val="auto"/>
          <w:szCs w:val="24"/>
          <w:lang w:eastAsia="ru-RU" w:bidi="ar-SA"/>
        </w:rPr>
      </w:pPr>
      <w:r>
        <w:rPr>
          <w:rFonts w:cs="Times New Roman"/>
          <w:color w:val="auto"/>
          <w:szCs w:val="24"/>
          <w:lang w:eastAsia="ru-RU" w:bidi="ar-SA"/>
        </w:rPr>
        <w:t xml:space="preserve">Из норм и расценок исключать стоимость компрессоров. </w:t>
      </w:r>
    </w:p>
    <w:p>
      <w:pPr>
        <w:pStyle w:val="Normal"/>
        <w:widowControl/>
        <w:numPr>
          <w:ilvl w:val="2"/>
          <w:numId w:val="8"/>
        </w:numPr>
        <w:tabs>
          <w:tab w:val="clear" w:pos="708"/>
          <w:tab w:val="left" w:pos="709" w:leader="none"/>
          <w:tab w:val="left" w:pos="1134" w:leader="none"/>
          <w:tab w:val="left" w:pos="1701" w:leader="none"/>
        </w:tabs>
        <w:snapToGrid w:val="true"/>
        <w:ind w:left="0" w:hanging="0"/>
        <w:jc w:val="left"/>
        <w:rPr>
          <w:rFonts w:cs="Times New Roman"/>
          <w:color w:val="auto"/>
          <w:szCs w:val="24"/>
          <w:lang w:eastAsia="ru-RU" w:bidi="ar-SA"/>
        </w:rPr>
      </w:pPr>
      <w:r>
        <w:rPr>
          <w:rFonts w:cs="Times New Roman"/>
          <w:color w:val="auto"/>
          <w:szCs w:val="24"/>
          <w:lang w:eastAsia="ru-RU" w:bidi="ar-SA"/>
        </w:rPr>
        <w:t>По предоставляемой воде:</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Из норм и расценок исключать стоимость воды.</w:t>
      </w:r>
    </w:p>
    <w:p>
      <w:pPr>
        <w:pStyle w:val="Normal"/>
        <w:widowControl/>
        <w:numPr>
          <w:ilvl w:val="2"/>
          <w:numId w:val="8"/>
        </w:numPr>
        <w:tabs>
          <w:tab w:val="clear" w:pos="708"/>
          <w:tab w:val="left" w:pos="709" w:leader="none"/>
          <w:tab w:val="left" w:pos="1134" w:leader="none"/>
          <w:tab w:val="left" w:pos="1701" w:leader="none"/>
        </w:tabs>
        <w:snapToGrid w:val="true"/>
        <w:ind w:left="0" w:hanging="0"/>
        <w:rPr>
          <w:rFonts w:cs="Times New Roman"/>
          <w:color w:val="auto"/>
          <w:szCs w:val="24"/>
          <w:lang w:eastAsia="ru-RU" w:bidi="ar-SA"/>
        </w:rPr>
      </w:pPr>
      <w:r>
        <w:rPr>
          <w:rFonts w:cs="Times New Roman"/>
          <w:color w:val="auto"/>
          <w:szCs w:val="24"/>
          <w:lang w:eastAsia="ru-RU" w:bidi="ar-SA"/>
        </w:rPr>
        <w:t xml:space="preserve"> </w:t>
      </w:r>
      <w:r>
        <w:rPr>
          <w:rFonts w:cs="Times New Roman"/>
          <w:color w:val="auto"/>
          <w:szCs w:val="24"/>
          <w:lang w:eastAsia="ru-RU" w:bidi="ar-SA"/>
        </w:rPr>
        <w:t>Учтенные в составе накладных расходов:</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расходы по обеспечению санитарно-гигиенических и бытовых условий (удельный вес статьи затрат в накладных расходах - 3,02%);</w:t>
      </w:r>
    </w:p>
    <w:p>
      <w:pPr>
        <w:pStyle w:val="Normal"/>
        <w:widowControl/>
        <w:tabs>
          <w:tab w:val="clear" w:pos="708"/>
          <w:tab w:val="left" w:pos="709" w:leader="none"/>
          <w:tab w:val="left" w:pos="851" w:leader="none"/>
          <w:tab w:val="left" w:pos="1418" w:leader="none"/>
        </w:tabs>
        <w:snapToGrid w:val="true"/>
        <w:ind w:hanging="0"/>
        <w:rPr>
          <w:rFonts w:cs="Times New Roman"/>
          <w:color w:val="auto"/>
          <w:szCs w:val="24"/>
          <w:lang w:eastAsia="ru-RU" w:bidi="ar-SA"/>
        </w:rPr>
      </w:pPr>
      <w:r>
        <w:rPr>
          <w:rFonts w:cs="Times New Roman"/>
          <w:color w:val="auto"/>
          <w:szCs w:val="24"/>
          <w:lang w:eastAsia="ru-RU" w:bidi="ar-SA"/>
        </w:rPr>
        <w:t>исключаются путем применения понижающего коэффициента к нормативам накладных расходов на строительные работы в размере 0,97. Понижающий коэффициент не применяется к нормативам накладных расходов на ремонтно-строительные работы, работы по реконструкции зданий и сооружений (ГЭСН/ФЕР/ТЕР-2001-46), монтажные и пусконаладочные работы.</w:t>
      </w:r>
    </w:p>
    <w:p>
      <w:pPr>
        <w:pStyle w:val="Normal"/>
        <w:widowControl/>
        <w:numPr>
          <w:ilvl w:val="0"/>
          <w:numId w:val="8"/>
        </w:numPr>
        <w:tabs>
          <w:tab w:val="clear" w:pos="708"/>
          <w:tab w:val="left" w:pos="567" w:leader="none"/>
        </w:tabs>
        <w:snapToGrid w:val="true"/>
        <w:ind w:left="0" w:hanging="0"/>
        <w:rPr>
          <w:rFonts w:cs="Times New Roman"/>
          <w:color w:val="auto"/>
          <w:szCs w:val="24"/>
          <w:lang w:eastAsia="ru-RU" w:bidi="ar-SA"/>
        </w:rPr>
      </w:pPr>
      <w:r>
        <w:rPr>
          <w:rFonts w:cs="Times New Roman"/>
          <w:color w:val="auto"/>
          <w:szCs w:val="24"/>
          <w:lang w:eastAsia="ru-RU" w:bidi="ar-SA"/>
        </w:rPr>
        <w:t>При выполнении работ Заказчиком, например, по химическому анализу турбинных масел и осушению проточной части гидроагрегата, стоимость указанных работ не включать в ведомости объемов работ и цену договора подряда.</w:t>
      </w:r>
    </w:p>
    <w:p>
      <w:pPr>
        <w:pStyle w:val="Normal"/>
        <w:widowControl/>
        <w:numPr>
          <w:ilvl w:val="0"/>
          <w:numId w:val="8"/>
        </w:numPr>
        <w:tabs>
          <w:tab w:val="clear" w:pos="708"/>
          <w:tab w:val="left" w:pos="567" w:leader="none"/>
        </w:tabs>
        <w:snapToGrid w:val="true"/>
        <w:ind w:left="0" w:hanging="0"/>
        <w:rPr>
          <w:rFonts w:cs="Times New Roman"/>
          <w:color w:val="auto"/>
          <w:szCs w:val="24"/>
          <w:lang w:eastAsia="ru-RU" w:bidi="ar-SA"/>
        </w:rPr>
      </w:pPr>
      <w:r>
        <w:rPr>
          <w:rFonts w:cs="Times New Roman"/>
          <w:color w:val="auto"/>
          <w:szCs w:val="24"/>
          <w:lang w:eastAsia="ru-RU" w:bidi="ar-SA"/>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pPr>
        <w:pStyle w:val="Normal"/>
        <w:widowControl/>
        <w:numPr>
          <w:ilvl w:val="0"/>
          <w:numId w:val="8"/>
        </w:numPr>
        <w:tabs>
          <w:tab w:val="clear" w:pos="708"/>
          <w:tab w:val="left" w:pos="567" w:leader="none"/>
        </w:tabs>
        <w:snapToGrid w:val="true"/>
        <w:ind w:left="0" w:hanging="0"/>
        <w:rPr>
          <w:rFonts w:cs="Times New Roman"/>
          <w:szCs w:val="24"/>
          <w:lang w:eastAsia="ru-RU" w:bidi="ar-SA"/>
        </w:rPr>
      </w:pPr>
      <w:r>
        <w:rPr>
          <w:rFonts w:cs="Times New Roman"/>
          <w:color w:val="auto"/>
          <w:szCs w:val="24"/>
          <w:lang w:eastAsia="ru-RU" w:bidi="ar-SA"/>
        </w:rPr>
        <w:t>ССР составляется при наличии двух и более смет.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подписанта. Наименование и нумерация глав сводного сметного расчета не подлежат корректировке вне зависимости от состава включаемых затрат. В случае отсутствия затрат, предусматриваемых соответствующей главой сводного сметного расчета, эта глава пропускается без изменения номеров последующих глав. Формат ССР выполнять по Образцам Приложения №№ 1.1, 1.2 к Требованиям к оформлению и составлению сметной документации по ценообразованию</w:t>
      </w:r>
      <w:r>
        <w:rPr>
          <w:rFonts w:cs="Times New Roman"/>
          <w:szCs w:val="24"/>
          <w:lang w:eastAsia="ru-RU" w:bidi="ar-SA"/>
        </w:rPr>
        <w:t>.</w:t>
      </w:r>
    </w:p>
    <w:p>
      <w:pPr>
        <w:pStyle w:val="Normal"/>
        <w:widowControl/>
        <w:numPr>
          <w:ilvl w:val="0"/>
          <w:numId w:val="8"/>
        </w:numPr>
        <w:tabs>
          <w:tab w:val="clear" w:pos="708"/>
          <w:tab w:val="left" w:pos="567" w:leader="none"/>
        </w:tabs>
        <w:snapToGrid w:val="true"/>
        <w:ind w:left="0" w:hanging="0"/>
        <w:rPr>
          <w:rFonts w:cs="Times New Roman"/>
          <w:color w:val="auto"/>
          <w:szCs w:val="24"/>
          <w:lang w:eastAsia="ru-RU" w:bidi="ar-SA"/>
        </w:rPr>
      </w:pPr>
      <w:r>
        <w:rPr>
          <w:rFonts w:cs="Times New Roman"/>
          <w:color w:val="auto"/>
          <w:szCs w:val="24"/>
          <w:lang w:eastAsia="ru-RU" w:bidi="ar-SA"/>
        </w:rPr>
        <w:t>Сметная документация должна быть представлена в двух вариантах:</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на бумажном носителе. Образец ЛСР в соответствии с приложением № 1.3 к Требованиям к оформлению и составлению сметной документации по ценообразованию;</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на электронном носителе (в формате «xml» ПК «Гранд-Смета», «Excel», «pdf»), полностью соответствующему, бумажному варианту. Сметная документация в формате «Excel» должна быть представлена в одном файле с внесением ССР, ЛСР и других расчетов на отдельные листы (вкладки) документа.</w:t>
      </w:r>
    </w:p>
    <w:p>
      <w:pPr>
        <w:pStyle w:val="Normal"/>
        <w:widowControl/>
        <w:numPr>
          <w:ilvl w:val="0"/>
          <w:numId w:val="7"/>
        </w:numPr>
        <w:tabs>
          <w:tab w:val="clear" w:pos="708"/>
          <w:tab w:val="left" w:pos="284" w:leader="none"/>
          <w:tab w:val="left" w:pos="709" w:leader="none"/>
          <w:tab w:val="left" w:pos="851" w:leader="none"/>
          <w:tab w:val="left" w:pos="1134" w:leader="none"/>
        </w:tabs>
        <w:snapToGrid w:val="true"/>
        <w:ind w:left="0" w:hanging="0"/>
        <w:rPr>
          <w:rFonts w:cs="Times New Roman"/>
          <w:color w:val="auto"/>
          <w:szCs w:val="24"/>
          <w:lang w:eastAsia="ru-RU" w:bidi="ar-SA"/>
        </w:rPr>
      </w:pPr>
      <w:r>
        <w:rPr>
          <w:rFonts w:cs="Times New Roman"/>
          <w:color w:val="auto"/>
          <w:szCs w:val="24"/>
          <w:lang w:eastAsia="ru-RU" w:bidi="ar-SA"/>
        </w:rPr>
        <w:t>в формате ПК «Гранд-смета» выходная форма для печати указана ниже:</w:t>
      </w:r>
    </w:p>
    <w:p>
      <w:pPr>
        <w:pStyle w:val="Normal"/>
        <w:widowControl/>
        <w:snapToGrid w:val="true"/>
        <w:ind w:left="5811" w:hanging="0"/>
        <w:jc w:val="left"/>
        <w:rPr>
          <w:rFonts w:cs="Times New Roman"/>
          <w:szCs w:val="24"/>
          <w:highlight w:val="yellow"/>
          <w:lang w:eastAsia="ru-RU" w:bidi="ar-SA"/>
        </w:rPr>
      </w:pPr>
      <w:r>
        <w:rPr>
          <w:rFonts w:cs="Times New Roman"/>
          <w:szCs w:val="24"/>
          <w:highlight w:val="yellow"/>
          <w:lang w:eastAsia="ru-RU" w:bidi="ar-SA"/>
        </w:rPr>
      </w:r>
    </w:p>
    <w:p>
      <w:pPr>
        <w:pStyle w:val="Normal"/>
        <w:widowControl/>
        <w:snapToGrid w:val="true"/>
        <w:ind w:left="5811" w:hanging="0"/>
        <w:jc w:val="left"/>
        <w:rPr>
          <w:rFonts w:cs="Times New Roman"/>
          <w:szCs w:val="24"/>
          <w:highlight w:val="yellow"/>
          <w:lang w:eastAsia="ru-RU" w:bidi="ar-SA"/>
        </w:rPr>
      </w:pPr>
      <w:r>
        <w:rPr>
          <w:rFonts w:cs="Times New Roman"/>
          <w:szCs w:val="24"/>
          <w:highlight w:val="yellow"/>
          <w:lang w:eastAsia="ru-RU" w:bidi="ar-SA"/>
        </w:rPr>
      </w:r>
    </w:p>
    <w:p>
      <w:pPr>
        <w:pStyle w:val="Normal"/>
        <w:widowControl/>
        <w:snapToGrid w:val="true"/>
        <w:ind w:hanging="0"/>
        <w:jc w:val="left"/>
        <w:rPr>
          <w:rFonts w:ascii="Calibri" w:hAnsi="Calibri" w:cs="Times New Roman"/>
          <w:color w:val="auto"/>
          <w:sz w:val="22"/>
          <w:lang w:eastAsia="ru-RU" w:bidi="ar-SA"/>
        </w:rPr>
      </w:pPr>
      <w:r>
        <w:rPr>
          <w:rFonts w:cs="Times New Roman" w:ascii="Calibri" w:hAnsi="Calibri"/>
          <w:color w:val="auto"/>
          <w:sz w:val="22"/>
          <w:lang w:eastAsia="ru-RU" w:bidi="ar-SA"/>
        </w:rPr>
      </w:r>
    </w:p>
    <w:tbl>
      <w:tblPr>
        <w:tblStyle w:val="afc"/>
        <w:tblW w:w="9637" w:type="dxa"/>
        <w:jc w:val="left"/>
        <w:tblInd w:w="0" w:type="dxa"/>
        <w:tblLayout w:type="fixed"/>
        <w:tblCellMar>
          <w:top w:w="0" w:type="dxa"/>
          <w:left w:w="108" w:type="dxa"/>
          <w:bottom w:w="0" w:type="dxa"/>
          <w:right w:w="108" w:type="dxa"/>
        </w:tblCellMar>
        <w:tblLook w:val="04a0" w:noVBand="1" w:noHBand="0" w:firstRow="1" w:lastRow="0" w:firstColumn="1" w:lastColumn="0"/>
      </w:tblPr>
      <w:tblGrid>
        <w:gridCol w:w="4578"/>
        <w:gridCol w:w="5058"/>
      </w:tblGrid>
      <w:tr>
        <w:trPr/>
        <w:tc>
          <w:tcPr>
            <w:tcW w:w="4578" w:type="dxa"/>
            <w:tcBorders>
              <w:top w:val="nil"/>
              <w:left w:val="nil"/>
              <w:bottom w:val="nil"/>
              <w:right w:val="nil"/>
            </w:tcBorders>
          </w:tcPr>
          <w:p>
            <w:pPr>
              <w:pStyle w:val="Normal"/>
              <w:widowControl w:val="false"/>
              <w:snapToGrid w:val="true"/>
              <w:spacing w:before="0" w:after="0"/>
              <w:ind w:hanging="0"/>
              <w:jc w:val="left"/>
              <w:rPr>
                <w:rFonts w:cs="Times New Roman"/>
                <w:color w:val="auto"/>
                <w:szCs w:val="24"/>
                <w:lang w:bidi="ar-SA"/>
              </w:rPr>
            </w:pPr>
            <w:r>
              <w:rPr>
                <w:rFonts w:cs="Times New Roman"/>
                <w:color w:val="auto"/>
                <w:kern w:val="0"/>
                <w:szCs w:val="24"/>
                <w:lang w:val="ru-RU" w:eastAsia="ru-RU" w:bidi="ar-SA"/>
              </w:rPr>
            </w:r>
          </w:p>
          <w:p>
            <w:pPr>
              <w:pStyle w:val="Normal"/>
              <w:widowControl w:val="false"/>
              <w:snapToGrid w:val="true"/>
              <w:spacing w:before="0" w:after="0"/>
              <w:ind w:hanging="0"/>
              <w:jc w:val="left"/>
              <w:rPr>
                <w:rFonts w:cs="Times New Roman"/>
                <w:szCs w:val="24"/>
                <w:highlight w:val="yellow"/>
                <w:lang w:bidi="ar-SA"/>
              </w:rPr>
            </w:pPr>
            <w:r>
              <w:rPr>
                <w:kern w:val="0"/>
                <w:lang w:val="ru-RU" w:eastAsia="ru-RU"/>
              </w:rPr>
              <w:drawing>
                <wp:inline distT="0" distB="0" distL="0" distR="0">
                  <wp:extent cx="3291205" cy="3355340"/>
                  <wp:effectExtent l="0" t="0" r="0" b="0"/>
                  <wp:docPr id="1" name="Рисунок 1" descr="cid:image001.jpg@01D771AB.FE884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cid:image001.jpg@01D771AB.FE884A10"/>
                          <pic:cNvPicPr>
                            <a:picLocks noChangeAspect="1" noChangeArrowheads="1"/>
                          </pic:cNvPicPr>
                        </pic:nvPicPr>
                        <pic:blipFill>
                          <a:blip r:embed="rId2"/>
                          <a:srcRect l="0" t="0" r="45820" b="0"/>
                          <a:stretch>
                            <a:fillRect/>
                          </a:stretch>
                        </pic:blipFill>
                        <pic:spPr bwMode="auto">
                          <a:xfrm>
                            <a:off x="0" y="0"/>
                            <a:ext cx="3291205" cy="3355340"/>
                          </a:xfrm>
                          <a:prstGeom prst="rect">
                            <a:avLst/>
                          </a:prstGeom>
                        </pic:spPr>
                      </pic:pic>
                    </a:graphicData>
                  </a:graphic>
                </wp:inline>
              </w:drawing>
            </w:r>
          </w:p>
        </w:tc>
        <w:tc>
          <w:tcPr>
            <w:tcW w:w="5058" w:type="dxa"/>
            <w:tcBorders>
              <w:top w:val="nil"/>
              <w:left w:val="nil"/>
              <w:bottom w:val="nil"/>
              <w:right w:val="nil"/>
            </w:tcBorders>
          </w:tcPr>
          <w:p>
            <w:pPr>
              <w:pStyle w:val="Normal"/>
              <w:widowControl w:val="false"/>
              <w:snapToGrid w:val="true"/>
              <w:spacing w:before="0" w:after="0"/>
              <w:ind w:hanging="0"/>
              <w:jc w:val="left"/>
              <w:rPr>
                <w:rFonts w:cs="Times New Roman"/>
                <w:szCs w:val="24"/>
                <w:highlight w:val="yellow"/>
                <w:lang w:bidi="ar-SA"/>
              </w:rPr>
            </w:pPr>
            <w:r>
              <w:rPr>
                <w:kern w:val="0"/>
                <w:lang w:val="ru-RU" w:eastAsia="ru-RU"/>
              </w:rPr>
              <w:drawing>
                <wp:inline distT="0" distB="0" distL="0" distR="0">
                  <wp:extent cx="3654425" cy="4222115"/>
                  <wp:effectExtent l="0" t="0" r="0" b="0"/>
                  <wp:docPr id="2" name="Изображение2" descr="cid:image004.jpg@01D95D71.4389EB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cid:image004.jpg@01D95D71.4389EB20"/>
                          <pic:cNvPicPr>
                            <a:picLocks noChangeAspect="1" noChangeArrowheads="1"/>
                          </pic:cNvPicPr>
                        </pic:nvPicPr>
                        <pic:blipFill>
                          <a:blip r:embed="rId3"/>
                          <a:stretch>
                            <a:fillRect/>
                          </a:stretch>
                        </pic:blipFill>
                        <pic:spPr bwMode="auto">
                          <a:xfrm>
                            <a:off x="0" y="0"/>
                            <a:ext cx="3654425" cy="4222115"/>
                          </a:xfrm>
                          <a:prstGeom prst="rect">
                            <a:avLst/>
                          </a:prstGeom>
                        </pic:spPr>
                      </pic:pic>
                    </a:graphicData>
                  </a:graphic>
                </wp:inline>
              </w:drawing>
            </w:r>
          </w:p>
        </w:tc>
      </w:tr>
    </w:tbl>
    <w:p>
      <w:pPr>
        <w:pStyle w:val="Normal"/>
        <w:snapToGrid w:val="true"/>
        <w:ind w:firstLine="720"/>
        <w:jc w:val="center"/>
        <w:rPr>
          <w:rFonts w:cs="Times New Roman"/>
          <w:color w:val="auto"/>
          <w:szCs w:val="24"/>
          <w:lang w:eastAsia="ru-RU" w:bidi="ar-SA"/>
        </w:rPr>
      </w:pPr>
      <w:r>
        <w:rPr>
          <w:rFonts w:cs="Times New Roman"/>
          <w:color w:val="auto"/>
          <w:szCs w:val="24"/>
          <w:lang w:eastAsia="ru-RU" w:bidi="ar-SA"/>
        </w:rPr>
      </w:r>
    </w:p>
    <w:p>
      <w:pPr>
        <w:sectPr>
          <w:footerReference w:type="default" r:id="rId4"/>
          <w:footnotePr>
            <w:numFmt w:val="decimal"/>
            <w:numRestart w:val="eachPage"/>
          </w:footnotePr>
          <w:type w:val="nextPage"/>
          <w:pgSz w:w="11906" w:h="16838"/>
          <w:pgMar w:left="1418" w:right="851" w:gutter="0" w:header="0" w:top="1134" w:footer="709" w:bottom="1134"/>
          <w:pgNumType w:fmt="decimal"/>
          <w:formProt w:val="false"/>
          <w:textDirection w:val="lrTb"/>
          <w:docGrid w:type="default" w:linePitch="360" w:charSpace="0"/>
        </w:sectPr>
        <w:pStyle w:val="Normal"/>
        <w:snapToGrid w:val="true"/>
        <w:ind w:firstLine="720"/>
        <w:jc w:val="center"/>
        <w:rPr>
          <w:rFonts w:cs="Times New Roman"/>
          <w:color w:val="auto"/>
          <w:szCs w:val="24"/>
          <w:lang w:eastAsia="ru-RU" w:bidi="ar-SA"/>
        </w:rPr>
      </w:pPr>
      <w:r>
        <w:rPr>
          <w:rFonts w:cs="Times New Roman"/>
          <w:color w:val="auto"/>
          <w:szCs w:val="24"/>
          <w:lang w:eastAsia="ru-RU" w:bidi="ar-SA"/>
        </w:rPr>
      </w:r>
    </w:p>
    <w:p>
      <w:pPr>
        <w:pStyle w:val="Normal"/>
        <w:snapToGrid w:val="true"/>
        <w:ind w:firstLine="720"/>
        <w:jc w:val="righ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Приложение № 1.1</w:t>
      </w:r>
    </w:p>
    <w:p>
      <w:pPr>
        <w:pStyle w:val="Normal"/>
        <w:snapToGrid w:val="true"/>
        <w:ind w:left="57" w:firstLine="720"/>
        <w:jc w:val="right"/>
        <w:rPr>
          <w:rFonts w:cs="Times New Roman"/>
          <w:color w:val="auto"/>
          <w:sz w:val="20"/>
          <w:szCs w:val="20"/>
          <w:lang w:eastAsia="ru-RU" w:bidi="ar-SA"/>
        </w:rPr>
      </w:pPr>
      <w:r>
        <w:rPr>
          <w:rFonts w:cs="Times New Roman"/>
          <w:b/>
          <w:color w:val="auto"/>
          <w:sz w:val="20"/>
          <w:szCs w:val="20"/>
          <w:lang w:eastAsia="ru-RU" w:bidi="ar-SA"/>
        </w:rPr>
        <w:t xml:space="preserve">ОБРАЗЕЦ </w:t>
      </w:r>
      <w:r>
        <w:rPr>
          <w:rFonts w:cs="Times New Roman"/>
          <w:color w:val="auto"/>
          <w:sz w:val="20"/>
          <w:szCs w:val="20"/>
          <w:lang w:eastAsia="ru-RU" w:bidi="ar-SA"/>
        </w:rPr>
        <w:t xml:space="preserve">                                                                               Требованиям к оформлению и составлению сметной документации по ценообразованию</w:t>
      </w:r>
    </w:p>
    <w:p>
      <w:pPr>
        <w:pStyle w:val="Normal"/>
        <w:snapToGrid w:val="true"/>
        <w:ind w:left="5811" w:firstLine="720"/>
        <w:jc w:val="center"/>
        <w:rPr>
          <w:rFonts w:cs="Times New Roman"/>
          <w:b/>
          <w:color w:val="auto"/>
          <w:szCs w:val="24"/>
          <w:lang w:eastAsia="ru-RU" w:bidi="ar-SA"/>
        </w:rPr>
      </w:pPr>
      <w:r>
        <w:rPr>
          <w:rFonts w:cs="Times New Roman"/>
          <w:b/>
          <w:color w:val="auto"/>
          <w:szCs w:val="24"/>
          <w:lang w:eastAsia="ru-RU" w:bidi="ar-SA"/>
        </w:rPr>
      </w:r>
    </w:p>
    <w:tbl>
      <w:tblPr>
        <w:tblpPr w:bottomFromText="0" w:horzAnchor="margin" w:leftFromText="180" w:rightFromText="180" w:tblpX="784" w:tblpY="904" w:topFromText="0" w:vertAnchor="margin"/>
        <w:tblW w:w="14898"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533"/>
        <w:gridCol w:w="1855"/>
        <w:gridCol w:w="4666"/>
        <w:gridCol w:w="1737"/>
        <w:gridCol w:w="52"/>
        <w:gridCol w:w="1621"/>
        <w:gridCol w:w="447"/>
        <w:gridCol w:w="1354"/>
        <w:gridCol w:w="776"/>
        <w:gridCol w:w="426"/>
        <w:gridCol w:w="1429"/>
      </w:tblGrid>
      <w:tr>
        <w:trPr>
          <w:trHeight w:val="300" w:hRule="atLeast"/>
        </w:trPr>
        <w:tc>
          <w:tcPr>
            <w:tcW w:w="14896" w:type="dxa"/>
            <w:gridSpan w:val="11"/>
            <w:tcBorders/>
            <w:shd w:color="auto" w:fill="auto" w:val="clear"/>
            <w:vAlign w:val="center"/>
          </w:tcPr>
          <w:p>
            <w:pPr>
              <w:pStyle w:val="Normal"/>
              <w:widowControl w:val="false"/>
              <w:snapToGrid w:val="true"/>
              <w:ind w:left="1539" w:hanging="0"/>
              <w:jc w:val="lef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Приложение №_____</w:t>
            </w:r>
          </w:p>
          <w:p>
            <w:pPr>
              <w:pStyle w:val="Normal"/>
              <w:widowControl w:val="false"/>
              <w:snapToGrid w:val="true"/>
              <w:ind w:left="1539" w:hanging="0"/>
              <w:jc w:val="lef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к договору №________от______</w:t>
            </w:r>
          </w:p>
        </w:tc>
      </w:tr>
      <w:tr>
        <w:trPr>
          <w:trHeight w:val="255" w:hRule="atLeast"/>
        </w:trPr>
        <w:tc>
          <w:tcPr>
            <w:tcW w:w="10911" w:type="dxa"/>
            <w:gridSpan w:val="7"/>
            <w:tcBorders/>
            <w:shd w:color="auto" w:fill="auto" w:val="clear"/>
            <w:vAlign w:val="center"/>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r>
          </w:p>
        </w:tc>
        <w:tc>
          <w:tcPr>
            <w:tcW w:w="1354" w:type="dxa"/>
            <w:tcBorders/>
          </w:tcPr>
          <w:p>
            <w:pPr>
              <w:pStyle w:val="Normal"/>
              <w:widowControl w:val="false"/>
              <w:rPr/>
            </w:pPr>
            <w:r>
              <w:rPr/>
            </w:r>
          </w:p>
        </w:tc>
        <w:tc>
          <w:tcPr>
            <w:tcW w:w="776" w:type="dxa"/>
            <w:tcBorders/>
          </w:tcPr>
          <w:p>
            <w:pPr>
              <w:pStyle w:val="Normal"/>
              <w:widowControl w:val="false"/>
              <w:rPr/>
            </w:pPr>
            <w:r>
              <w:rPr/>
            </w:r>
          </w:p>
        </w:tc>
        <w:tc>
          <w:tcPr>
            <w:tcW w:w="426" w:type="dxa"/>
            <w:tcBorders/>
          </w:tcPr>
          <w:p>
            <w:pPr>
              <w:pStyle w:val="Normal"/>
              <w:widowControl w:val="false"/>
              <w:rPr/>
            </w:pPr>
            <w:r>
              <w:rPr/>
            </w:r>
          </w:p>
        </w:tc>
        <w:tc>
          <w:tcPr>
            <w:tcW w:w="1429" w:type="dxa"/>
            <w:tcBorders/>
          </w:tcPr>
          <w:p>
            <w:pPr>
              <w:pStyle w:val="Normal"/>
              <w:widowControl w:val="false"/>
              <w:rPr/>
            </w:pPr>
            <w:r>
              <w:rPr/>
            </w:r>
          </w:p>
        </w:tc>
      </w:tr>
      <w:tr>
        <w:trPr>
          <w:trHeight w:val="300" w:hRule="atLeast"/>
        </w:trPr>
        <w:tc>
          <w:tcPr>
            <w:tcW w:w="2388" w:type="dxa"/>
            <w:gridSpan w:val="2"/>
            <w:tcBorders/>
            <w:shd w:color="auto" w:fill="auto" w:val="clear"/>
            <w:vAlign w:val="bottom"/>
          </w:tcPr>
          <w:p>
            <w:pPr>
              <w:pStyle w:val="Normal"/>
              <w:widowControl w:val="false"/>
              <w:snapToGrid w:val="true"/>
              <w:ind w:hanging="0"/>
              <w:jc w:val="left"/>
              <w:rPr>
                <w:rFonts w:cs="Times New Roman"/>
                <w:b/>
                <w:bCs/>
                <w:color w:val="auto"/>
                <w:sz w:val="20"/>
                <w:szCs w:val="20"/>
                <w:lang w:eastAsia="ru-RU" w:bidi="ar-SA"/>
              </w:rPr>
            </w:pPr>
            <w:r>
              <w:rPr>
                <w:rFonts w:cs="Times New Roman"/>
                <w:b/>
                <w:bCs/>
                <w:color w:val="auto"/>
                <w:sz w:val="20"/>
                <w:szCs w:val="20"/>
                <w:lang w:eastAsia="ru-RU" w:bidi="ar-SA"/>
              </w:rPr>
              <w:t>СОГЛАСОВАНО:</w:t>
            </w:r>
          </w:p>
        </w:tc>
        <w:tc>
          <w:tcPr>
            <w:tcW w:w="4666" w:type="dxa"/>
            <w:tcBorders/>
            <w:shd w:color="auto" w:fill="auto" w:val="clear"/>
            <w:vAlign w:val="bottom"/>
          </w:tcPr>
          <w:p>
            <w:pPr>
              <w:pStyle w:val="Normal"/>
              <w:widowControl w:val="false"/>
              <w:snapToGrid w:val="true"/>
              <w:ind w:hanging="0"/>
              <w:jc w:val="left"/>
              <w:rPr>
                <w:rFonts w:cs="Times New Roman"/>
                <w:b/>
                <w:bCs/>
                <w:color w:val="auto"/>
                <w:sz w:val="20"/>
                <w:szCs w:val="20"/>
                <w:lang w:eastAsia="ru-RU" w:bidi="ar-SA"/>
              </w:rPr>
            </w:pPr>
            <w:r>
              <w:rPr>
                <w:rFonts w:cs="Times New Roman"/>
                <w:b/>
                <w:bCs/>
                <w:color w:val="auto"/>
                <w:sz w:val="20"/>
                <w:szCs w:val="20"/>
                <w:lang w:eastAsia="ru-RU" w:bidi="ar-SA"/>
              </w:rPr>
            </w:r>
          </w:p>
        </w:tc>
        <w:tc>
          <w:tcPr>
            <w:tcW w:w="1789" w:type="dxa"/>
            <w:gridSpan w:val="2"/>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621" w:type="dxa"/>
            <w:tcBorders/>
            <w:shd w:color="auto" w:fill="auto" w:val="clear"/>
            <w:vAlign w:val="bottom"/>
          </w:tcPr>
          <w:p>
            <w:pPr>
              <w:pStyle w:val="Normal"/>
              <w:widowControl w:val="false"/>
              <w:snapToGrid w:val="true"/>
              <w:ind w:hanging="0"/>
              <w:jc w:val="left"/>
              <w:rPr>
                <w:rFonts w:cs="Times New Roman"/>
                <w:b/>
                <w:bCs/>
                <w:color w:val="auto"/>
                <w:sz w:val="20"/>
                <w:szCs w:val="20"/>
                <w:lang w:eastAsia="ru-RU" w:bidi="ar-SA"/>
              </w:rPr>
            </w:pPr>
            <w:r>
              <w:rPr>
                <w:rFonts w:cs="Times New Roman"/>
                <w:b/>
                <w:bCs/>
                <w:color w:val="auto"/>
                <w:sz w:val="20"/>
                <w:szCs w:val="20"/>
                <w:lang w:eastAsia="ru-RU" w:bidi="ar-SA"/>
              </w:rPr>
            </w:r>
          </w:p>
        </w:tc>
        <w:tc>
          <w:tcPr>
            <w:tcW w:w="1801" w:type="dxa"/>
            <w:gridSpan w:val="2"/>
            <w:tcBorders/>
            <w:shd w:color="auto" w:fill="auto" w:val="clear"/>
            <w:vAlign w:val="bottom"/>
          </w:tcPr>
          <w:p>
            <w:pPr>
              <w:pStyle w:val="Normal"/>
              <w:widowControl w:val="false"/>
              <w:snapToGrid w:val="true"/>
              <w:ind w:hanging="0"/>
              <w:jc w:val="left"/>
              <w:rPr>
                <w:rFonts w:cs="Times New Roman"/>
                <w:b/>
                <w:bCs/>
                <w:color w:val="auto"/>
                <w:sz w:val="20"/>
                <w:szCs w:val="20"/>
                <w:lang w:eastAsia="ru-RU" w:bidi="ar-SA"/>
              </w:rPr>
            </w:pPr>
            <w:r>
              <w:rPr>
                <w:rFonts w:cs="Times New Roman"/>
                <w:b/>
                <w:bCs/>
                <w:color w:val="auto"/>
                <w:sz w:val="20"/>
                <w:szCs w:val="20"/>
                <w:lang w:eastAsia="ru-RU" w:bidi="ar-SA"/>
              </w:rPr>
              <w:t>УТВЕРЖДАЮ:</w:t>
            </w:r>
          </w:p>
        </w:tc>
        <w:tc>
          <w:tcPr>
            <w:tcW w:w="1202" w:type="dxa"/>
            <w:gridSpan w:val="2"/>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429" w:type="dxa"/>
            <w:tcBorders/>
            <w:shd w:color="auto" w:fill="auto" w:val="clear"/>
            <w:vAlign w:val="bottom"/>
          </w:tcPr>
          <w:p>
            <w:pPr>
              <w:pStyle w:val="Normal"/>
              <w:widowControl w:val="false"/>
              <w:snapToGrid w:val="true"/>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r>
      <w:tr>
        <w:trPr>
          <w:trHeight w:val="300" w:hRule="atLeast"/>
        </w:trPr>
        <w:tc>
          <w:tcPr>
            <w:tcW w:w="7054" w:type="dxa"/>
            <w:gridSpan w:val="3"/>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________________(Подрядчик)</w:t>
            </w:r>
          </w:p>
        </w:tc>
        <w:tc>
          <w:tcPr>
            <w:tcW w:w="1789" w:type="dxa"/>
            <w:gridSpan w:val="2"/>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621"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4432" w:type="dxa"/>
            <w:gridSpan w:val="5"/>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_________________(Заказчик)</w:t>
            </w:r>
          </w:p>
        </w:tc>
      </w:tr>
      <w:tr>
        <w:trPr>
          <w:trHeight w:val="300" w:hRule="atLeast"/>
        </w:trPr>
        <w:tc>
          <w:tcPr>
            <w:tcW w:w="7054" w:type="dxa"/>
            <w:gridSpan w:val="3"/>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________________ И.О.Ф.</w:t>
            </w:r>
          </w:p>
        </w:tc>
        <w:tc>
          <w:tcPr>
            <w:tcW w:w="1789" w:type="dxa"/>
            <w:gridSpan w:val="2"/>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621"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4432" w:type="dxa"/>
            <w:gridSpan w:val="5"/>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 xml:space="preserve">_________________И.О.Ф. </w:t>
            </w:r>
          </w:p>
        </w:tc>
      </w:tr>
      <w:tr>
        <w:trPr>
          <w:trHeight w:val="300" w:hRule="atLeast"/>
        </w:trPr>
        <w:tc>
          <w:tcPr>
            <w:tcW w:w="7054" w:type="dxa"/>
            <w:gridSpan w:val="3"/>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89"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621" w:type="dxa"/>
            <w:tcBorders/>
            <w:shd w:color="auto" w:fill="auto" w:val="clear"/>
            <w:vAlign w:val="bottom"/>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3003" w:type="dxa"/>
            <w:gridSpan w:val="4"/>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r>
          </w:p>
        </w:tc>
        <w:tc>
          <w:tcPr>
            <w:tcW w:w="1429" w:type="dxa"/>
            <w:tcBorders/>
            <w:shd w:color="auto" w:fill="auto" w:val="clear"/>
            <w:vAlign w:val="bottom"/>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r>
      <w:tr>
        <w:trPr>
          <w:trHeight w:val="255" w:hRule="atLeast"/>
        </w:trPr>
        <w:tc>
          <w:tcPr>
            <w:tcW w:w="533"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55"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66"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37"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3474" w:type="dxa"/>
            <w:gridSpan w:val="4"/>
            <w:tcBorders/>
            <w:shd w:color="auto" w:fill="auto" w:val="clear"/>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t>Сводный сметный расчет в сумме:</w:t>
            </w:r>
          </w:p>
        </w:tc>
        <w:tc>
          <w:tcPr>
            <w:tcW w:w="776" w:type="dxa"/>
            <w:tcBorders/>
            <w:shd w:color="auto" w:fill="auto" w:val="clear"/>
            <w:vAlign w:val="center"/>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c>
          <w:tcPr>
            <w:tcW w:w="1855" w:type="dxa"/>
            <w:gridSpan w:val="2"/>
            <w:tcBorders/>
            <w:shd w:color="auto" w:fill="auto" w:val="clear"/>
            <w:vAlign w:val="center"/>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t>руб. без НДС</w:t>
            </w:r>
          </w:p>
        </w:tc>
      </w:tr>
      <w:tr>
        <w:trPr>
          <w:trHeight w:val="255" w:hRule="atLeast"/>
        </w:trPr>
        <w:tc>
          <w:tcPr>
            <w:tcW w:w="533"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55"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66"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89"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621"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01"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02"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429" w:type="dxa"/>
            <w:tcBorders/>
            <w:shd w:color="auto" w:fill="auto" w:val="clear"/>
            <w:vAlign w:val="bottom"/>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r>
      <w:tr>
        <w:trPr>
          <w:trHeight w:val="255" w:hRule="atLeast"/>
        </w:trPr>
        <w:tc>
          <w:tcPr>
            <w:tcW w:w="533"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55"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1079" w:type="dxa"/>
            <w:gridSpan w:val="8"/>
            <w:tcBorders/>
            <w:shd w:color="auto" w:fill="auto" w:val="clea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b/>
                <w:bCs/>
                <w:color w:val="auto"/>
                <w:sz w:val="20"/>
                <w:szCs w:val="20"/>
                <w:lang w:eastAsia="ru-RU" w:bidi="ar-SA"/>
              </w:rPr>
              <w:t xml:space="preserve">СВОДНЫЙ СМЕТНЫЙ РАСЧЕТ </w:t>
            </w:r>
          </w:p>
        </w:tc>
        <w:tc>
          <w:tcPr>
            <w:tcW w:w="1429"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r>
      <w:tr>
        <w:trPr>
          <w:trHeight w:val="255" w:hRule="atLeast"/>
        </w:trPr>
        <w:tc>
          <w:tcPr>
            <w:tcW w:w="533"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55"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66"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89" w:type="dxa"/>
            <w:gridSpan w:val="2"/>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621" w:type="dxa"/>
            <w:tcBorders/>
            <w:shd w:color="auto" w:fill="auto" w:val="clea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1"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02"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429"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r>
      <w:tr>
        <w:trPr>
          <w:trHeight w:val="223" w:hRule="atLeast"/>
        </w:trPr>
        <w:tc>
          <w:tcPr>
            <w:tcW w:w="14896" w:type="dxa"/>
            <w:gridSpan w:val="11"/>
            <w:tcBorders/>
            <w:shd w:color="auto" w:fill="auto" w:val="clear"/>
          </w:tcPr>
          <w:p>
            <w:pPr>
              <w:pStyle w:val="Normal"/>
              <w:widowControl w:val="false"/>
              <w:snapToGrid w:val="true"/>
              <w:spacing w:lineRule="exact" w:line="240"/>
              <w:ind w:hanging="0"/>
              <w:jc w:val="center"/>
              <w:rPr>
                <w:rFonts w:cs="Times New Roman"/>
                <w:color w:val="auto"/>
                <w:sz w:val="20"/>
                <w:szCs w:val="20"/>
                <w:u w:val="single"/>
                <w:lang w:eastAsia="ru-RU" w:bidi="ar-SA"/>
              </w:rPr>
            </w:pPr>
            <w:r>
              <w:rPr>
                <w:rFonts w:cs="Times New Roman"/>
                <w:b/>
                <w:bCs/>
                <w:color w:val="auto"/>
                <w:sz w:val="20"/>
                <w:szCs w:val="20"/>
                <w:u w:val="single"/>
                <w:lang w:eastAsia="ru-RU" w:bidi="ar-SA"/>
              </w:rPr>
              <w:t xml:space="preserve">«_________________________________». Филиал ПАО «РусГидро»…….  </w:t>
            </w:r>
            <w:r>
              <w:rPr>
                <w:rFonts w:cs="Times New Roman"/>
                <w:color w:val="auto"/>
                <w:sz w:val="20"/>
                <w:szCs w:val="20"/>
                <w:u w:val="single"/>
                <w:lang w:eastAsia="ru-RU" w:bidi="ar-SA"/>
              </w:rPr>
              <w:t> </w:t>
            </w:r>
          </w:p>
        </w:tc>
      </w:tr>
      <w:tr>
        <w:trPr>
          <w:trHeight w:val="255" w:hRule="atLeast"/>
        </w:trPr>
        <w:tc>
          <w:tcPr>
            <w:tcW w:w="533"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55"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66"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3410" w:type="dxa"/>
            <w:gridSpan w:val="3"/>
            <w:tcBorders/>
            <w:shd w:color="auto" w:fill="auto" w:val="clear"/>
            <w:vAlign w:val="center"/>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i/>
                <w:iCs/>
                <w:color w:val="auto"/>
                <w:sz w:val="20"/>
                <w:szCs w:val="20"/>
                <w:lang w:eastAsia="ru-RU" w:bidi="ar-SA"/>
              </w:rPr>
              <w:t>(наименование стройки)</w:t>
            </w:r>
          </w:p>
        </w:tc>
        <w:tc>
          <w:tcPr>
            <w:tcW w:w="1801"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02"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429"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r>
      <w:tr>
        <w:trPr>
          <w:trHeight w:val="255" w:hRule="atLeast"/>
        </w:trPr>
        <w:tc>
          <w:tcPr>
            <w:tcW w:w="533"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1732" w:type="dxa"/>
            <w:gridSpan w:val="7"/>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t>Составлен в текущих ценах, соответствующих периоду выполнения работ по договору</w:t>
            </w:r>
          </w:p>
        </w:tc>
        <w:tc>
          <w:tcPr>
            <w:tcW w:w="1202" w:type="dxa"/>
            <w:gridSpan w:val="2"/>
            <w:tcBorders/>
            <w:shd w:color="auto" w:fill="auto" w:val="clear"/>
            <w:vAlign w:val="center"/>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c>
          <w:tcPr>
            <w:tcW w:w="1429" w:type="dxa"/>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255" w:hRule="atLeast"/>
        </w:trPr>
        <w:tc>
          <w:tcPr>
            <w:tcW w:w="53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пп</w:t>
            </w:r>
          </w:p>
        </w:tc>
        <w:tc>
          <w:tcPr>
            <w:tcW w:w="185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Номера локальных сметных расчетов</w:t>
            </w:r>
          </w:p>
        </w:tc>
        <w:tc>
          <w:tcPr>
            <w:tcW w:w="466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Наименование глав, объектов, работ и затрат</w:t>
            </w:r>
          </w:p>
        </w:tc>
        <w:tc>
          <w:tcPr>
            <w:tcW w:w="6413" w:type="dxa"/>
            <w:gridSpan w:val="7"/>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Сметная стоимость, руб.</w:t>
            </w:r>
          </w:p>
        </w:tc>
        <w:tc>
          <w:tcPr>
            <w:tcW w:w="142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Общая сметная стоимость, руб.</w:t>
            </w:r>
          </w:p>
        </w:tc>
      </w:tr>
      <w:tr>
        <w:trPr>
          <w:trHeight w:val="481" w:hRule="atLeast"/>
        </w:trPr>
        <w:tc>
          <w:tcPr>
            <w:tcW w:w="53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8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6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89"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строительных работ</w:t>
            </w:r>
          </w:p>
        </w:tc>
        <w:tc>
          <w:tcPr>
            <w:tcW w:w="1621"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монтажных работ</w:t>
            </w:r>
          </w:p>
        </w:tc>
        <w:tc>
          <w:tcPr>
            <w:tcW w:w="1801"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оборудования, мебели, инвентаря</w:t>
            </w:r>
          </w:p>
        </w:tc>
        <w:tc>
          <w:tcPr>
            <w:tcW w:w="1202"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прочих</w:t>
            </w:r>
          </w:p>
        </w:tc>
        <w:tc>
          <w:tcPr>
            <w:tcW w:w="14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255"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1</w:t>
            </w:r>
          </w:p>
        </w:tc>
        <w:tc>
          <w:tcPr>
            <w:tcW w:w="1855"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2</w:t>
            </w:r>
          </w:p>
        </w:tc>
        <w:tc>
          <w:tcPr>
            <w:tcW w:w="4666"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3</w:t>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4</w:t>
            </w:r>
          </w:p>
        </w:tc>
        <w:tc>
          <w:tcPr>
            <w:tcW w:w="1621"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5</w:t>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6</w:t>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7</w:t>
            </w:r>
          </w:p>
        </w:tc>
        <w:tc>
          <w:tcPr>
            <w:tcW w:w="1429"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8</w:t>
            </w:r>
          </w:p>
        </w:tc>
      </w:tr>
      <w:tr>
        <w:trPr>
          <w:trHeight w:val="255" w:hRule="atLeast"/>
        </w:trPr>
        <w:tc>
          <w:tcPr>
            <w:tcW w:w="14896" w:type="dxa"/>
            <w:gridSpan w:val="11"/>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center"/>
              <w:rPr>
                <w:rFonts w:cs="Times New Roman"/>
                <w:b/>
                <w:bCs/>
                <w:color w:val="auto"/>
                <w:sz w:val="20"/>
                <w:szCs w:val="20"/>
                <w:lang w:eastAsia="ru-RU" w:bidi="ar-SA"/>
              </w:rPr>
            </w:pPr>
            <w:r>
              <w:rPr>
                <w:rFonts w:cs="Times New Roman"/>
                <w:color w:val="auto"/>
                <w:sz w:val="20"/>
                <w:szCs w:val="20"/>
                <w:lang w:eastAsia="ru-RU" w:bidi="ar-SA"/>
              </w:rPr>
              <w:t>Работы выполняемые в 202</w:t>
            </w:r>
            <w:r>
              <w:rPr>
                <w:rFonts w:cs="Times New Roman"/>
                <w:color w:val="auto"/>
                <w:sz w:val="20"/>
                <w:szCs w:val="20"/>
                <w:lang w:val="en-US" w:eastAsia="ru-RU" w:bidi="ar-SA"/>
              </w:rPr>
              <w:t>6</w:t>
            </w:r>
            <w:r>
              <w:rPr>
                <w:rFonts w:cs="Times New Roman"/>
                <w:color w:val="auto"/>
                <w:sz w:val="20"/>
                <w:szCs w:val="20"/>
                <w:lang w:eastAsia="ru-RU" w:bidi="ar-SA"/>
              </w:rPr>
              <w:t xml:space="preserve"> году</w:t>
            </w:r>
          </w:p>
        </w:tc>
      </w:tr>
      <w:tr>
        <w:trPr>
          <w:trHeight w:val="249"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1</w:t>
            </w:r>
          </w:p>
        </w:tc>
        <w:tc>
          <w:tcPr>
            <w:tcW w:w="1855"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66"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621"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429"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83"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2</w:t>
            </w:r>
          </w:p>
        </w:tc>
        <w:tc>
          <w:tcPr>
            <w:tcW w:w="1855"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66"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621"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t> </w:t>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t> </w:t>
            </w:r>
          </w:p>
        </w:tc>
        <w:tc>
          <w:tcPr>
            <w:tcW w:w="1429"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74" w:hRule="atLeast"/>
        </w:trPr>
        <w:tc>
          <w:tcPr>
            <w:tcW w:w="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3</w:t>
            </w:r>
          </w:p>
        </w:tc>
        <w:tc>
          <w:tcPr>
            <w:tcW w:w="1855"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66"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t>Итого по Главе 2</w:t>
            </w:r>
          </w:p>
        </w:tc>
        <w:tc>
          <w:tcPr>
            <w:tcW w:w="1789"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621"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1"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t> </w:t>
            </w:r>
          </w:p>
        </w:tc>
        <w:tc>
          <w:tcPr>
            <w:tcW w:w="1202"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t> </w:t>
            </w:r>
          </w:p>
        </w:tc>
        <w:tc>
          <w:tcPr>
            <w:tcW w:w="1429"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81" w:hRule="atLeast"/>
        </w:trPr>
        <w:tc>
          <w:tcPr>
            <w:tcW w:w="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55"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4666"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t>Итого по Главам 2-9</w:t>
            </w:r>
          </w:p>
        </w:tc>
        <w:tc>
          <w:tcPr>
            <w:tcW w:w="1789"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621"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1"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202"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429"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right="103"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55"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4666"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b/>
                <w:color w:val="auto"/>
                <w:sz w:val="20"/>
                <w:szCs w:val="20"/>
                <w:lang w:eastAsia="ru-RU" w:bidi="ar-SA"/>
              </w:rPr>
            </w:pPr>
            <w:r>
              <w:rPr>
                <w:rFonts w:cs="Times New Roman"/>
                <w:b/>
                <w:color w:val="auto"/>
                <w:sz w:val="20"/>
                <w:szCs w:val="20"/>
                <w:lang w:eastAsia="ru-RU" w:bidi="ar-SA"/>
              </w:rPr>
              <w:t>Всего по сводному расчету</w:t>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621"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429"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right="103" w:hanging="0"/>
              <w:jc w:val="right"/>
              <w:rPr>
                <w:rFonts w:cs="Times New Roman"/>
                <w:color w:val="auto"/>
                <w:sz w:val="20"/>
                <w:szCs w:val="20"/>
                <w:lang w:eastAsia="ru-RU" w:bidi="ar-SA"/>
              </w:rPr>
            </w:pPr>
            <w:r>
              <w:rPr>
                <w:rFonts w:cs="Times New Roman"/>
                <w:color w:val="auto"/>
                <w:sz w:val="20"/>
                <w:szCs w:val="20"/>
                <w:lang w:eastAsia="ru-RU" w:bidi="ar-SA"/>
              </w:rPr>
            </w:r>
          </w:p>
        </w:tc>
      </w:tr>
    </w:tbl>
    <w:tbl>
      <w:tblPr>
        <w:tblW w:w="15059" w:type="dxa"/>
        <w:jc w:val="left"/>
        <w:tblInd w:w="534" w:type="dxa"/>
        <w:tblLayout w:type="fixed"/>
        <w:tblCellMar>
          <w:top w:w="0" w:type="dxa"/>
          <w:left w:w="108" w:type="dxa"/>
          <w:bottom w:w="0" w:type="dxa"/>
          <w:right w:w="108" w:type="dxa"/>
        </w:tblCellMar>
        <w:tblLook w:val="0000" w:noVBand="0" w:noHBand="0" w:lastColumn="0" w:firstColumn="0" w:lastRow="0" w:firstRow="0"/>
      </w:tblPr>
      <w:tblGrid>
        <w:gridCol w:w="15059"/>
      </w:tblGrid>
      <w:tr>
        <w:trPr>
          <w:trHeight w:val="138" w:hRule="atLeast"/>
        </w:trPr>
        <w:tc>
          <w:tcPr>
            <w:tcW w:w="15059" w:type="dxa"/>
            <w:tcBorders/>
            <w:shd w:color="auto" w:fill="auto" w:val="clear"/>
            <w:vAlign w:val="bottom"/>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Составил:                 /должность, организация/                                                /подпись/   /расшифровка подписи/</w:t>
            </w:r>
          </w:p>
        </w:tc>
      </w:tr>
      <w:tr>
        <w:trPr>
          <w:trHeight w:val="138" w:hRule="atLeast"/>
        </w:trPr>
        <w:tc>
          <w:tcPr>
            <w:tcW w:w="15059" w:type="dxa"/>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Проверил:               /должность, организация/                                                /подпись/   /расшифровка подписи/</w:t>
            </w:r>
          </w:p>
        </w:tc>
      </w:tr>
    </w:tbl>
    <w:p>
      <w:pPr>
        <w:pStyle w:val="Normal"/>
        <w:widowControl/>
        <w:tabs>
          <w:tab w:val="clear" w:pos="708"/>
          <w:tab w:val="left" w:pos="900" w:leader="none"/>
          <w:tab w:val="left" w:pos="13750" w:leader="none"/>
          <w:tab w:val="left" w:pos="14175" w:leader="none"/>
          <w:tab w:val="left" w:pos="15168" w:leader="none"/>
        </w:tabs>
        <w:snapToGrid w:val="true"/>
        <w:ind w:hanging="0"/>
        <w:jc w:val="right"/>
        <w:rPr>
          <w:rFonts w:cs="Times New Roman"/>
          <w:color w:val="auto"/>
          <w:sz w:val="20"/>
          <w:szCs w:val="20"/>
          <w:lang w:eastAsia="ru-RU" w:bidi="ar-SA"/>
        </w:rPr>
      </w:pPr>
      <w:r>
        <w:br w:type="page"/>
      </w:r>
      <w:r>
        <w:rPr>
          <w:rFonts w:cs="Times New Roman"/>
          <w:color w:val="auto"/>
          <w:sz w:val="20"/>
          <w:szCs w:val="20"/>
          <w:lang w:eastAsia="ru-RU" w:bidi="ar-SA"/>
        </w:rPr>
        <w:t xml:space="preserve">                                                                                                                                                                                                  </w:t>
      </w:r>
      <w:r>
        <w:rPr>
          <w:rFonts w:cs="Times New Roman"/>
          <w:color w:val="auto"/>
          <w:sz w:val="20"/>
          <w:szCs w:val="20"/>
          <w:lang w:eastAsia="ru-RU" w:bidi="ar-SA"/>
        </w:rPr>
        <w:t>Приложение 1.2</w:t>
      </w:r>
    </w:p>
    <w:p>
      <w:pPr>
        <w:pStyle w:val="Normal"/>
        <w:widowControl/>
        <w:tabs>
          <w:tab w:val="clear" w:pos="708"/>
          <w:tab w:val="left" w:pos="900" w:leader="none"/>
        </w:tabs>
        <w:snapToGrid w:val="true"/>
        <w:ind w:hanging="0"/>
        <w:jc w:val="righ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к Требованиям к оформлению и составлению сметной документации по ценообразованию</w:t>
      </w:r>
    </w:p>
    <w:p>
      <w:pPr>
        <w:pStyle w:val="Normal"/>
        <w:widowControl/>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bl>
      <w:tblPr>
        <w:tblpPr w:bottomFromText="0" w:horzAnchor="margin" w:leftFromText="180" w:rightFromText="180" w:tblpX="217" w:tblpY="904" w:topFromText="0" w:vertAnchor="margin"/>
        <w:tblW w:w="14718"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675"/>
        <w:gridCol w:w="1713"/>
        <w:gridCol w:w="4539"/>
        <w:gridCol w:w="1737"/>
        <w:gridCol w:w="53"/>
        <w:gridCol w:w="1205"/>
        <w:gridCol w:w="100"/>
        <w:gridCol w:w="1802"/>
        <w:gridCol w:w="1167"/>
        <w:gridCol w:w="1631"/>
        <w:gridCol w:w="94"/>
      </w:tblGrid>
      <w:tr>
        <w:trPr>
          <w:trHeight w:val="300"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5905" w:type="dxa"/>
            <w:gridSpan w:val="5"/>
            <w:tcBorders/>
            <w:shd w:color="auto" w:fill="auto" w:val="clear"/>
            <w:vAlign w:val="center"/>
          </w:tcPr>
          <w:p>
            <w:pPr>
              <w:pStyle w:val="Normal"/>
              <w:widowControl w:val="false"/>
              <w:snapToGrid w:val="true"/>
              <w:spacing w:lineRule="auto" w:line="276"/>
              <w:ind w:left="1681" w:hanging="0"/>
              <w:jc w:val="right"/>
              <w:rPr>
                <w:rFonts w:cs="Times New Roman"/>
                <w:color w:val="auto"/>
                <w:sz w:val="20"/>
                <w:szCs w:val="20"/>
                <w:lang w:eastAsia="ru-RU" w:bidi="ar-SA"/>
              </w:rPr>
            </w:pPr>
            <w:r>
              <w:rPr>
                <w:rFonts w:cs="Times New Roman"/>
                <w:color w:val="auto"/>
                <w:sz w:val="20"/>
                <w:szCs w:val="20"/>
                <w:lang w:eastAsia="ru-RU" w:bidi="ar-SA"/>
              </w:rPr>
              <w:t>Приложение №_____</w:t>
            </w:r>
          </w:p>
          <w:p>
            <w:pPr>
              <w:pStyle w:val="Normal"/>
              <w:widowControl w:val="false"/>
              <w:snapToGrid w:val="true"/>
              <w:spacing w:lineRule="auto" w:line="276"/>
              <w:ind w:left="1243" w:hanging="0"/>
              <w:jc w:val="right"/>
              <w:rPr>
                <w:rFonts w:cs="Times New Roman"/>
                <w:color w:val="auto"/>
                <w:sz w:val="20"/>
                <w:szCs w:val="20"/>
                <w:lang w:eastAsia="ru-RU" w:bidi="ar-SA"/>
              </w:rPr>
            </w:pPr>
            <w:r>
              <w:rPr>
                <w:rFonts w:cs="Times New Roman"/>
                <w:color w:val="auto"/>
                <w:sz w:val="20"/>
                <w:szCs w:val="20"/>
                <w:lang w:eastAsia="ru-RU" w:bidi="ar-SA"/>
              </w:rPr>
              <w:t xml:space="preserve">к дополнительному соглашению от ___№___ </w:t>
            </w:r>
          </w:p>
          <w:p>
            <w:pPr>
              <w:pStyle w:val="Normal"/>
              <w:widowControl w:val="false"/>
              <w:snapToGrid w:val="true"/>
              <w:spacing w:lineRule="auto" w:line="276"/>
              <w:ind w:left="1681" w:hanging="0"/>
              <w:jc w:val="right"/>
              <w:rPr>
                <w:rFonts w:cs="Times New Roman"/>
                <w:color w:val="auto"/>
                <w:sz w:val="20"/>
                <w:szCs w:val="20"/>
                <w:lang w:eastAsia="ru-RU" w:bidi="ar-SA"/>
              </w:rPr>
            </w:pPr>
            <w:r>
              <w:rPr>
                <w:rFonts w:cs="Times New Roman"/>
                <w:color w:val="auto"/>
                <w:sz w:val="20"/>
                <w:szCs w:val="20"/>
                <w:lang w:eastAsia="ru-RU" w:bidi="ar-SA"/>
              </w:rPr>
              <w:t>к договору от______№ ______</w:t>
            </w:r>
          </w:p>
        </w:tc>
        <w:tc>
          <w:tcPr>
            <w:tcW w:w="94" w:type="dxa"/>
            <w:tcBorders/>
          </w:tcPr>
          <w:p>
            <w:pPr>
              <w:pStyle w:val="Normal"/>
              <w:widowControl w:val="false"/>
              <w:rPr/>
            </w:pPr>
            <w:r>
              <w:rPr/>
            </w:r>
          </w:p>
        </w:tc>
      </w:tr>
      <w:tr>
        <w:trPr>
          <w:trHeight w:val="25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05" w:type="dxa"/>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4700" w:type="dxa"/>
            <w:gridSpan w:val="4"/>
            <w:tcBorders/>
            <w:shd w:color="auto" w:fill="auto" w:val="clear"/>
            <w:vAlign w:val="center"/>
          </w:tcPr>
          <w:p>
            <w:pPr>
              <w:pStyle w:val="Normal"/>
              <w:widowControl w:val="false"/>
              <w:snapToGrid w:val="true"/>
              <w:spacing w:lineRule="exact" w:line="240"/>
              <w:ind w:hanging="375"/>
              <w:jc w:val="righ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Приложение №</w:t>
            </w:r>
            <w:r>
              <w:rPr>
                <w:rFonts w:cs="Times New Roman"/>
                <w:color w:val="auto"/>
                <w:sz w:val="20"/>
                <w:szCs w:val="20"/>
                <w:u w:val="single"/>
                <w:lang w:eastAsia="ru-RU" w:bidi="ar-SA"/>
              </w:rPr>
              <w:t>_____</w:t>
            </w:r>
            <w:r>
              <w:rPr>
                <w:rFonts w:cs="Times New Roman"/>
                <w:color w:val="auto"/>
                <w:sz w:val="20"/>
                <w:szCs w:val="20"/>
                <w:lang w:eastAsia="ru-RU" w:bidi="ar-SA"/>
              </w:rPr>
              <w:t>к договору от</w:t>
            </w:r>
            <w:r>
              <w:rPr>
                <w:rFonts w:cs="Times New Roman"/>
                <w:color w:val="auto"/>
                <w:sz w:val="20"/>
                <w:szCs w:val="20"/>
                <w:u w:val="single"/>
                <w:lang w:eastAsia="ru-RU" w:bidi="ar-SA"/>
              </w:rPr>
              <w:t>_____</w:t>
            </w:r>
            <w:r>
              <w:rPr>
                <w:rFonts w:cs="Times New Roman"/>
                <w:color w:val="auto"/>
                <w:sz w:val="20"/>
                <w:szCs w:val="20"/>
                <w:lang w:eastAsia="ru-RU" w:bidi="ar-SA"/>
              </w:rPr>
              <w:t>№</w:t>
            </w:r>
            <w:r>
              <w:rPr>
                <w:rFonts w:cs="Times New Roman"/>
                <w:color w:val="auto"/>
                <w:sz w:val="20"/>
                <w:szCs w:val="20"/>
                <w:u w:val="single"/>
                <w:lang w:eastAsia="ru-RU" w:bidi="ar-SA"/>
              </w:rPr>
              <w:t>____</w:t>
            </w:r>
          </w:p>
        </w:tc>
        <w:tc>
          <w:tcPr>
            <w:tcW w:w="94" w:type="dxa"/>
            <w:tcBorders/>
          </w:tcPr>
          <w:p>
            <w:pPr>
              <w:pStyle w:val="Normal"/>
              <w:widowControl w:val="false"/>
              <w:rPr/>
            </w:pPr>
            <w:r>
              <w:rPr/>
            </w:r>
          </w:p>
        </w:tc>
      </w:tr>
      <w:tr>
        <w:trPr>
          <w:trHeight w:val="25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02" w:type="dxa"/>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167" w:type="dxa"/>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8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vAlign w:val="bottom"/>
          </w:tcPr>
          <w:p>
            <w:pPr>
              <w:pStyle w:val="Normal"/>
              <w:widowControl w:val="false"/>
              <w:snapToGrid w:val="true"/>
              <w:spacing w:lineRule="auto" w:line="276"/>
              <w:ind w:hanging="0"/>
              <w:jc w:val="left"/>
              <w:rPr>
                <w:rFonts w:cs="Times New Roman"/>
                <w:b/>
                <w:bCs/>
                <w:color w:val="auto"/>
                <w:sz w:val="20"/>
                <w:szCs w:val="20"/>
                <w:lang w:eastAsia="ru-RU" w:bidi="ar-SA"/>
              </w:rPr>
            </w:pPr>
            <w:r>
              <w:rPr>
                <w:rFonts w:cs="Times New Roman"/>
                <w:b/>
                <w:bCs/>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02"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167"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shd w:color="auto" w:fill="auto" w:val="clear"/>
            <w:vAlign w:val="bottom"/>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r>
      <w:tr>
        <w:trPr>
          <w:trHeight w:val="300" w:hRule="atLeast"/>
        </w:trPr>
        <w:tc>
          <w:tcPr>
            <w:tcW w:w="2388" w:type="dxa"/>
            <w:gridSpan w:val="2"/>
            <w:tcBorders/>
            <w:shd w:color="auto" w:fill="auto" w:val="clear"/>
            <w:vAlign w:val="bottom"/>
          </w:tcPr>
          <w:p>
            <w:pPr>
              <w:pStyle w:val="Normal"/>
              <w:widowControl w:val="false"/>
              <w:snapToGrid w:val="true"/>
              <w:spacing w:lineRule="exact" w:line="240"/>
              <w:ind w:hanging="0"/>
              <w:jc w:val="left"/>
              <w:rPr>
                <w:rFonts w:cs="Times New Roman"/>
                <w:b/>
                <w:bCs/>
                <w:color w:val="auto"/>
                <w:sz w:val="20"/>
                <w:szCs w:val="20"/>
                <w:lang w:eastAsia="ru-RU" w:bidi="ar-SA"/>
              </w:rPr>
            </w:pPr>
            <w:r>
              <w:rPr>
                <w:rFonts w:cs="Times New Roman"/>
                <w:b/>
                <w:bCs/>
                <w:color w:val="auto"/>
                <w:sz w:val="20"/>
                <w:szCs w:val="20"/>
                <w:lang w:eastAsia="ru-RU" w:bidi="ar-SA"/>
              </w:rPr>
              <w:t>СОГЛАСОВАНО:</w:t>
            </w:r>
          </w:p>
        </w:tc>
        <w:tc>
          <w:tcPr>
            <w:tcW w:w="4539" w:type="dxa"/>
            <w:tcBorders/>
            <w:shd w:color="auto" w:fill="auto" w:val="clear"/>
            <w:vAlign w:val="bottom"/>
          </w:tcPr>
          <w:p>
            <w:pPr>
              <w:pStyle w:val="Normal"/>
              <w:widowControl w:val="false"/>
              <w:snapToGrid w:val="true"/>
              <w:spacing w:lineRule="auto" w:line="276"/>
              <w:ind w:hanging="0"/>
              <w:jc w:val="left"/>
              <w:rPr>
                <w:rFonts w:cs="Times New Roman"/>
                <w:b/>
                <w:bCs/>
                <w:color w:val="auto"/>
                <w:sz w:val="20"/>
                <w:szCs w:val="20"/>
                <w:lang w:eastAsia="ru-RU" w:bidi="ar-SA"/>
              </w:rPr>
            </w:pPr>
            <w:r>
              <w:rPr>
                <w:rFonts w:cs="Times New Roman"/>
                <w:b/>
                <w:bCs/>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vAlign w:val="bottom"/>
          </w:tcPr>
          <w:p>
            <w:pPr>
              <w:pStyle w:val="Normal"/>
              <w:widowControl w:val="false"/>
              <w:snapToGrid w:val="true"/>
              <w:spacing w:lineRule="auto" w:line="276"/>
              <w:ind w:hanging="0"/>
              <w:jc w:val="left"/>
              <w:rPr>
                <w:rFonts w:cs="Times New Roman"/>
                <w:b/>
                <w:bCs/>
                <w:color w:val="auto"/>
                <w:sz w:val="20"/>
                <w:szCs w:val="20"/>
                <w:lang w:eastAsia="ru-RU" w:bidi="ar-SA"/>
              </w:rPr>
            </w:pPr>
            <w:r>
              <w:rPr>
                <w:rFonts w:cs="Times New Roman"/>
                <w:b/>
                <w:bCs/>
                <w:color w:val="auto"/>
                <w:sz w:val="20"/>
                <w:szCs w:val="20"/>
                <w:lang w:eastAsia="ru-RU" w:bidi="ar-SA"/>
              </w:rPr>
            </w:r>
          </w:p>
        </w:tc>
        <w:tc>
          <w:tcPr>
            <w:tcW w:w="1802" w:type="dxa"/>
            <w:tcBorders/>
            <w:shd w:color="auto" w:fill="auto" w:val="clear"/>
            <w:vAlign w:val="bottom"/>
          </w:tcPr>
          <w:p>
            <w:pPr>
              <w:pStyle w:val="Normal"/>
              <w:widowControl w:val="false"/>
              <w:snapToGrid w:val="true"/>
              <w:spacing w:lineRule="exact" w:line="240"/>
              <w:ind w:hanging="0"/>
              <w:jc w:val="left"/>
              <w:rPr>
                <w:rFonts w:cs="Times New Roman"/>
                <w:b/>
                <w:bCs/>
                <w:color w:val="auto"/>
                <w:sz w:val="20"/>
                <w:szCs w:val="20"/>
                <w:lang w:eastAsia="ru-RU" w:bidi="ar-SA"/>
              </w:rPr>
            </w:pPr>
            <w:r>
              <w:rPr>
                <w:rFonts w:cs="Times New Roman"/>
                <w:b/>
                <w:bCs/>
                <w:color w:val="auto"/>
                <w:sz w:val="20"/>
                <w:szCs w:val="20"/>
                <w:lang w:eastAsia="ru-RU" w:bidi="ar-SA"/>
              </w:rPr>
              <w:t>УТВЕРЖДАЮ:</w:t>
            </w:r>
          </w:p>
        </w:tc>
        <w:tc>
          <w:tcPr>
            <w:tcW w:w="1167" w:type="dxa"/>
            <w:tcBorders/>
            <w:shd w:color="auto" w:fill="auto" w:val="clear"/>
            <w:vAlign w:val="bottom"/>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shd w:color="auto" w:fill="auto" w:val="clear"/>
            <w:vAlign w:val="bottom"/>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r>
      <w:tr>
        <w:trPr>
          <w:trHeight w:val="300" w:hRule="atLeast"/>
        </w:trPr>
        <w:tc>
          <w:tcPr>
            <w:tcW w:w="6927" w:type="dxa"/>
            <w:gridSpan w:val="3"/>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t>________________(Подрядчик)</w:t>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vAlign w:val="bottom"/>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94" w:type="dxa"/>
            <w:gridSpan w:val="4"/>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t>_________________(Заказчик)</w:t>
            </w:r>
          </w:p>
        </w:tc>
      </w:tr>
      <w:tr>
        <w:trPr>
          <w:trHeight w:val="300" w:hRule="atLeast"/>
        </w:trPr>
        <w:tc>
          <w:tcPr>
            <w:tcW w:w="6927" w:type="dxa"/>
            <w:gridSpan w:val="3"/>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vAlign w:val="bottom"/>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94" w:type="dxa"/>
            <w:gridSpan w:val="4"/>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300" w:hRule="atLeast"/>
        </w:trPr>
        <w:tc>
          <w:tcPr>
            <w:tcW w:w="6927" w:type="dxa"/>
            <w:gridSpan w:val="3"/>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t>________________ И.О.Ф.</w:t>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vAlign w:val="bottom"/>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694" w:type="dxa"/>
            <w:gridSpan w:val="4"/>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t xml:space="preserve">_________________И.О.Ф. </w:t>
            </w:r>
          </w:p>
        </w:tc>
      </w:tr>
      <w:tr>
        <w:trPr>
          <w:trHeight w:val="300" w:hRule="atLeast"/>
        </w:trPr>
        <w:tc>
          <w:tcPr>
            <w:tcW w:w="6927" w:type="dxa"/>
            <w:gridSpan w:val="3"/>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vAlign w:val="bottom"/>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2969" w:type="dxa"/>
            <w:gridSpan w:val="2"/>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shd w:color="auto" w:fill="auto" w:val="clear"/>
            <w:vAlign w:val="bottom"/>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r>
      <w:tr>
        <w:trPr>
          <w:trHeight w:val="255" w:hRule="atLeast"/>
        </w:trPr>
        <w:tc>
          <w:tcPr>
            <w:tcW w:w="675"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vAlign w:val="bottom"/>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02"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167"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shd w:color="auto" w:fill="auto" w:val="clear"/>
            <w:vAlign w:val="bottom"/>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r>
      <w:tr>
        <w:trPr>
          <w:trHeight w:val="25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37"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3160" w:type="dxa"/>
            <w:gridSpan w:val="4"/>
            <w:tcBorders/>
            <w:shd w:color="auto" w:fill="auto" w:val="clear"/>
          </w:tcPr>
          <w:p>
            <w:pPr>
              <w:pStyle w:val="Normal"/>
              <w:widowControl w:val="false"/>
              <w:snapToGrid w:val="true"/>
              <w:spacing w:lineRule="exact" w:line="240"/>
              <w:ind w:right="-450" w:hanging="0"/>
              <w:jc w:val="left"/>
              <w:rPr>
                <w:rFonts w:cs="Times New Roman"/>
                <w:color w:val="auto"/>
                <w:sz w:val="20"/>
                <w:szCs w:val="20"/>
                <w:lang w:eastAsia="ru-RU" w:bidi="ar-SA"/>
              </w:rPr>
            </w:pPr>
            <w:r>
              <w:rPr>
                <w:rFonts w:cs="Times New Roman"/>
                <w:color w:val="auto"/>
                <w:sz w:val="20"/>
                <w:szCs w:val="20"/>
                <w:lang w:eastAsia="ru-RU" w:bidi="ar-SA"/>
              </w:rPr>
              <w:t>Сводный сметный расчет в сумме:</w:t>
            </w:r>
          </w:p>
        </w:tc>
        <w:tc>
          <w:tcPr>
            <w:tcW w:w="1167" w:type="dxa"/>
            <w:tcBorders/>
            <w:shd w:color="auto" w:fill="auto" w:val="clear"/>
            <w:vAlign w:val="center"/>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c>
          <w:tcPr>
            <w:tcW w:w="1725" w:type="dxa"/>
            <w:gridSpan w:val="2"/>
            <w:tcBorders/>
            <w:shd w:color="auto" w:fill="auto" w:val="clear"/>
            <w:vAlign w:val="center"/>
          </w:tcPr>
          <w:p>
            <w:pPr>
              <w:pStyle w:val="Normal"/>
              <w:widowControl w:val="false"/>
              <w:snapToGrid w:val="true"/>
              <w:spacing w:lineRule="exact" w:line="240"/>
              <w:ind w:right="-153" w:hanging="0"/>
              <w:jc w:val="left"/>
              <w:rPr>
                <w:rFonts w:cs="Times New Roman"/>
                <w:color w:val="auto"/>
                <w:sz w:val="20"/>
                <w:szCs w:val="20"/>
                <w:lang w:eastAsia="ru-RU" w:bidi="ar-SA"/>
              </w:rPr>
            </w:pPr>
            <w:r>
              <w:rPr>
                <w:rFonts w:cs="Times New Roman"/>
                <w:color w:val="auto"/>
                <w:sz w:val="20"/>
                <w:szCs w:val="20"/>
                <w:lang w:eastAsia="ru-RU" w:bidi="ar-SA"/>
              </w:rPr>
              <w:t>руб. без НДС</w:t>
            </w:r>
          </w:p>
        </w:tc>
      </w:tr>
      <w:tr>
        <w:trPr>
          <w:trHeight w:val="25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802"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167"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shd w:color="auto" w:fill="auto" w:val="clear"/>
            <w:vAlign w:val="bottom"/>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r>
      <w:tr>
        <w:trPr>
          <w:trHeight w:val="25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603" w:type="dxa"/>
            <w:gridSpan w:val="7"/>
            <w:tcBorders/>
            <w:shd w:color="auto" w:fill="auto" w:val="clea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b/>
                <w:bCs/>
                <w:color w:val="auto"/>
                <w:sz w:val="20"/>
                <w:szCs w:val="20"/>
                <w:lang w:eastAsia="ru-RU" w:bidi="ar-SA"/>
              </w:rPr>
              <w:t xml:space="preserve">СВОДНЫЙ СМЕТНЫЙ РАСЧЕТ </w:t>
            </w:r>
          </w:p>
        </w:tc>
        <w:tc>
          <w:tcPr>
            <w:tcW w:w="1725"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r>
      <w:tr>
        <w:trPr>
          <w:trHeight w:val="25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2"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167"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r>
      <w:tr>
        <w:trPr>
          <w:trHeight w:val="223" w:hRule="atLeast"/>
        </w:trPr>
        <w:tc>
          <w:tcPr>
            <w:tcW w:w="14716" w:type="dxa"/>
            <w:gridSpan w:val="11"/>
            <w:tcBorders/>
            <w:shd w:color="auto" w:fill="auto" w:val="clear"/>
          </w:tcPr>
          <w:p>
            <w:pPr>
              <w:pStyle w:val="Normal"/>
              <w:widowControl w:val="false"/>
              <w:snapToGrid w:val="true"/>
              <w:spacing w:lineRule="exact" w:line="240"/>
              <w:ind w:hanging="0"/>
              <w:jc w:val="center"/>
              <w:rPr>
                <w:rFonts w:cs="Times New Roman"/>
                <w:color w:val="auto"/>
                <w:sz w:val="20"/>
                <w:szCs w:val="20"/>
                <w:u w:val="single"/>
                <w:lang w:eastAsia="ru-RU" w:bidi="ar-SA"/>
              </w:rPr>
            </w:pPr>
            <w:r>
              <w:rPr>
                <w:rFonts w:cs="Times New Roman"/>
                <w:b/>
                <w:bCs/>
                <w:color w:val="auto"/>
                <w:sz w:val="20"/>
                <w:szCs w:val="20"/>
                <w:u w:val="single"/>
                <w:lang w:eastAsia="ru-RU" w:bidi="ar-SA"/>
              </w:rPr>
              <w:t xml:space="preserve">«_________________________________». Филиал ПАО «РусГидро»……. . </w:t>
            </w:r>
            <w:r>
              <w:rPr>
                <w:rFonts w:cs="Times New Roman"/>
                <w:color w:val="auto"/>
                <w:sz w:val="20"/>
                <w:szCs w:val="20"/>
                <w:u w:val="single"/>
                <w:lang w:eastAsia="ru-RU" w:bidi="ar-SA"/>
              </w:rPr>
              <w:t> </w:t>
            </w:r>
          </w:p>
        </w:tc>
      </w:tr>
      <w:tr>
        <w:trPr>
          <w:trHeight w:val="25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3095" w:type="dxa"/>
            <w:gridSpan w:val="4"/>
            <w:tcBorders/>
            <w:shd w:color="auto" w:fill="auto" w:val="clear"/>
            <w:vAlign w:val="center"/>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i/>
                <w:iCs/>
                <w:color w:val="auto"/>
                <w:sz w:val="20"/>
                <w:szCs w:val="20"/>
                <w:lang w:eastAsia="ru-RU" w:bidi="ar-SA"/>
              </w:rPr>
              <w:t>(наименование стройки)</w:t>
            </w:r>
          </w:p>
        </w:tc>
        <w:tc>
          <w:tcPr>
            <w:tcW w:w="1802"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167" w:type="dxa"/>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r>
      <w:tr>
        <w:trPr>
          <w:trHeight w:val="25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shd w:color="auto" w:fill="auto" w:val="clea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shd w:color="auto" w:fill="auto" w:val="clea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2" w:type="dxa"/>
            <w:tcBorders/>
            <w:shd w:color="auto" w:fill="auto" w:val="clea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167" w:type="dxa"/>
            <w:tcBorders/>
            <w:shd w:color="auto" w:fill="auto" w:val="clea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r>
      <w:tr>
        <w:trPr>
          <w:trHeight w:val="255" w:hRule="atLeast"/>
        </w:trPr>
        <w:tc>
          <w:tcPr>
            <w:tcW w:w="675" w:type="dxa"/>
            <w:tcBorders/>
            <w:shd w:color="auto" w:fill="auto" w:val="clea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1149" w:type="dxa"/>
            <w:gridSpan w:val="7"/>
            <w:tcBorders/>
            <w:shd w:color="auto" w:fill="auto" w:val="clea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t>Составлен в текущих ценах, соответствующих периоду выполнения работ по договору</w:t>
            </w:r>
          </w:p>
        </w:tc>
        <w:tc>
          <w:tcPr>
            <w:tcW w:w="1167" w:type="dxa"/>
            <w:tcBorders/>
            <w:shd w:color="auto" w:fill="auto" w:val="clear"/>
            <w:vAlign w:val="center"/>
          </w:tcPr>
          <w:p>
            <w:pPr>
              <w:pStyle w:val="Normal"/>
              <w:widowControl w:val="false"/>
              <w:snapToGrid w:val="true"/>
              <w:spacing w:lineRule="auto" w:line="276"/>
              <w:ind w:hanging="0"/>
              <w:jc w:val="right"/>
              <w:rPr>
                <w:rFonts w:cs="Times New Roman"/>
                <w:b/>
                <w:bCs/>
                <w:color w:val="auto"/>
                <w:sz w:val="20"/>
                <w:szCs w:val="20"/>
                <w:lang w:eastAsia="ru-RU" w:bidi="ar-SA"/>
              </w:rPr>
            </w:pPr>
            <w:r>
              <w:rPr>
                <w:rFonts w:cs="Times New Roman"/>
                <w:b/>
                <w:bCs/>
                <w:color w:val="auto"/>
                <w:sz w:val="20"/>
                <w:szCs w:val="20"/>
                <w:lang w:eastAsia="ru-RU" w:bidi="ar-SA"/>
              </w:rPr>
            </w:r>
          </w:p>
        </w:tc>
        <w:tc>
          <w:tcPr>
            <w:tcW w:w="1725" w:type="dxa"/>
            <w:gridSpan w:val="2"/>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255" w:hRule="atLeast"/>
        </w:trPr>
        <w:tc>
          <w:tcPr>
            <w:tcW w:w="6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пп</w:t>
            </w:r>
          </w:p>
        </w:tc>
        <w:tc>
          <w:tcPr>
            <w:tcW w:w="171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Номера локальных сметных расчетов</w:t>
            </w:r>
          </w:p>
        </w:tc>
        <w:tc>
          <w:tcPr>
            <w:tcW w:w="453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Наименование глав, объектов, работ и затрат</w:t>
            </w:r>
          </w:p>
        </w:tc>
        <w:tc>
          <w:tcPr>
            <w:tcW w:w="6064" w:type="dxa"/>
            <w:gridSpan w:val="6"/>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Сметная стоимость, руб.</w:t>
            </w:r>
          </w:p>
        </w:tc>
        <w:tc>
          <w:tcPr>
            <w:tcW w:w="1725"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Общая сметная стоимость, руб.</w:t>
            </w:r>
          </w:p>
        </w:tc>
      </w:tr>
      <w:tr>
        <w:trPr>
          <w:trHeight w:val="481" w:hRule="atLeast"/>
        </w:trPr>
        <w:tc>
          <w:tcPr>
            <w:tcW w:w="6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строительных работ</w:t>
            </w:r>
          </w:p>
        </w:tc>
        <w:tc>
          <w:tcPr>
            <w:tcW w:w="1305" w:type="dxa"/>
            <w:gridSpan w:val="2"/>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монтажных работ</w:t>
            </w:r>
          </w:p>
        </w:tc>
        <w:tc>
          <w:tcPr>
            <w:tcW w:w="1802"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оборудования, мебели, инвентаря</w:t>
            </w:r>
          </w:p>
        </w:tc>
        <w:tc>
          <w:tcPr>
            <w:tcW w:w="1167"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прочих</w:t>
            </w:r>
          </w:p>
        </w:tc>
        <w:tc>
          <w:tcPr>
            <w:tcW w:w="1725"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317" w:hRule="atLeast"/>
        </w:trPr>
        <w:tc>
          <w:tcPr>
            <w:tcW w:w="6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vMerge w:val="continue"/>
            <w:tcBorders>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vMerge w:val="continue"/>
            <w:tcBorders>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802" w:type="dxa"/>
            <w:vMerge w:val="continue"/>
            <w:tcBorders>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167" w:type="dxa"/>
            <w:vMerge w:val="continue"/>
            <w:tcBorders>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255"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1</w:t>
            </w:r>
          </w:p>
        </w:tc>
        <w:tc>
          <w:tcPr>
            <w:tcW w:w="1713"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2</w:t>
            </w:r>
          </w:p>
        </w:tc>
        <w:tc>
          <w:tcPr>
            <w:tcW w:w="4539"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3</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4</w:t>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5</w:t>
            </w:r>
          </w:p>
        </w:tc>
        <w:tc>
          <w:tcPr>
            <w:tcW w:w="1802"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6</w:t>
            </w:r>
          </w:p>
        </w:tc>
        <w:tc>
          <w:tcPr>
            <w:tcW w:w="1167"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7</w:t>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8</w:t>
            </w:r>
          </w:p>
        </w:tc>
      </w:tr>
      <w:tr>
        <w:trPr>
          <w:trHeight w:val="249" w:hRule="atLeast"/>
        </w:trPr>
        <w:tc>
          <w:tcPr>
            <w:tcW w:w="14716" w:type="dxa"/>
            <w:gridSpan w:val="11"/>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t>Работы, выполняемые в 202</w:t>
            </w:r>
            <w:r>
              <w:rPr>
                <w:rFonts w:cs="Times New Roman"/>
                <w:color w:val="auto"/>
                <w:sz w:val="20"/>
                <w:szCs w:val="20"/>
                <w:lang w:val="en-US" w:eastAsia="ru-RU" w:bidi="ar-SA"/>
              </w:rPr>
              <w:t>6</w:t>
            </w:r>
            <w:r>
              <w:rPr>
                <w:rFonts w:cs="Times New Roman"/>
                <w:color w:val="auto"/>
                <w:sz w:val="20"/>
                <w:szCs w:val="20"/>
                <w:lang w:eastAsia="ru-RU" w:bidi="ar-SA"/>
              </w:rPr>
              <w:t xml:space="preserve"> г:</w:t>
            </w:r>
          </w:p>
        </w:tc>
      </w:tr>
      <w:tr>
        <w:trPr>
          <w:trHeight w:val="249" w:hRule="atLeast"/>
        </w:trPr>
        <w:tc>
          <w:tcPr>
            <w:tcW w:w="14716" w:type="dxa"/>
            <w:gridSpan w:val="11"/>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center"/>
              <w:rPr>
                <w:rFonts w:cs="Times New Roman"/>
                <w:color w:val="auto"/>
                <w:sz w:val="20"/>
                <w:szCs w:val="20"/>
                <w:lang w:eastAsia="ru-RU" w:bidi="ar-SA"/>
              </w:rPr>
            </w:pPr>
            <w:r>
              <w:rPr>
                <w:rFonts w:cs="Times New Roman"/>
                <w:color w:val="auto"/>
                <w:sz w:val="20"/>
                <w:szCs w:val="20"/>
                <w:lang w:eastAsia="ru-RU" w:bidi="ar-SA"/>
              </w:rPr>
              <w:t>Включить дополнительным соглашением №1</w:t>
            </w:r>
          </w:p>
        </w:tc>
      </w:tr>
      <w:tr>
        <w:trPr>
          <w:trHeight w:val="283"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2</w:t>
            </w:r>
          </w:p>
        </w:tc>
        <w:tc>
          <w:tcPr>
            <w:tcW w:w="1713"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2"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167"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83"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3</w:t>
            </w:r>
          </w:p>
        </w:tc>
        <w:tc>
          <w:tcPr>
            <w:tcW w:w="1713"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2"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167" w:type="dxa"/>
            <w:tcBorders>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83"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t>4</w:t>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83"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t>Итого включено дополнительным соглашением №1:</w:t>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t> </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t> </w:t>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74"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t>Итого по Главе 2</w:t>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74"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t>Итого по Главам 2-9</w:t>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74"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713"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c>
          <w:tcPr>
            <w:tcW w:w="4539"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b/>
                <w:color w:val="auto"/>
                <w:sz w:val="20"/>
                <w:szCs w:val="20"/>
                <w:lang w:eastAsia="ru-RU" w:bidi="ar-SA"/>
              </w:rPr>
            </w:pPr>
            <w:r>
              <w:rPr>
                <w:rFonts w:cs="Times New Roman"/>
                <w:b/>
                <w:color w:val="auto"/>
                <w:sz w:val="20"/>
                <w:szCs w:val="20"/>
                <w:lang w:eastAsia="ru-RU" w:bidi="ar-SA"/>
              </w:rPr>
              <w:t>Всего по сводному расчету</w:t>
            </w:r>
          </w:p>
        </w:tc>
        <w:tc>
          <w:tcPr>
            <w:tcW w:w="1790"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305"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802"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167"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exact" w:line="240"/>
              <w:ind w:hanging="0"/>
              <w:jc w:val="right"/>
              <w:rPr>
                <w:rFonts w:cs="Times New Roman"/>
                <w:color w:val="auto"/>
                <w:sz w:val="20"/>
                <w:szCs w:val="20"/>
                <w:lang w:eastAsia="ru-RU" w:bidi="ar-SA"/>
              </w:rPr>
            </w:pPr>
            <w:r>
              <w:rPr>
                <w:rFonts w:cs="Times New Roman"/>
                <w:color w:val="auto"/>
                <w:sz w:val="20"/>
                <w:szCs w:val="20"/>
                <w:lang w:eastAsia="ru-RU" w:bidi="ar-SA"/>
              </w:rPr>
            </w:r>
          </w:p>
        </w:tc>
        <w:tc>
          <w:tcPr>
            <w:tcW w:w="1725"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spacing w:lineRule="auto" w:line="276"/>
              <w:ind w:hanging="0"/>
              <w:jc w:val="right"/>
              <w:rPr>
                <w:rFonts w:cs="Times New Roman"/>
                <w:color w:val="auto"/>
                <w:sz w:val="20"/>
                <w:szCs w:val="20"/>
                <w:lang w:eastAsia="ru-RU" w:bidi="ar-SA"/>
              </w:rPr>
            </w:pPr>
            <w:r>
              <w:rPr>
                <w:rFonts w:cs="Times New Roman"/>
                <w:color w:val="auto"/>
                <w:sz w:val="20"/>
                <w:szCs w:val="20"/>
                <w:lang w:eastAsia="ru-RU" w:bidi="ar-SA"/>
              </w:rPr>
            </w:r>
          </w:p>
        </w:tc>
      </w:tr>
    </w:tbl>
    <w:tbl>
      <w:tblPr>
        <w:tblW w:w="15168"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15168"/>
      </w:tblGrid>
      <w:tr>
        <w:trPr>
          <w:trHeight w:val="138" w:hRule="atLeast"/>
        </w:trPr>
        <w:tc>
          <w:tcPr>
            <w:tcW w:w="15168" w:type="dxa"/>
            <w:tcBorders/>
            <w:shd w:color="auto" w:fill="auto" w:val="clear"/>
            <w:vAlign w:val="bottom"/>
          </w:tcPr>
          <w:p>
            <w:pPr>
              <w:pStyle w:val="Normal"/>
              <w:widowControl w:val="false"/>
              <w:snapToGrid w:val="true"/>
              <w:spacing w:lineRule="auto" w:line="276" w:before="0" w:after="200"/>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138" w:hRule="atLeast"/>
        </w:trPr>
        <w:tc>
          <w:tcPr>
            <w:tcW w:w="15168" w:type="dxa"/>
            <w:tcBorders/>
            <w:shd w:color="auto" w:fill="auto" w:val="clear"/>
            <w:vAlign w:val="bottom"/>
          </w:tcPr>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Составил:                 /должность, организация/                                                /подпись/   /расшифровка подписи/</w:t>
            </w:r>
          </w:p>
          <w:p>
            <w:pPr>
              <w:pStyle w:val="Normal"/>
              <w:widowControl w:val="false"/>
              <w:snapToGrid w:val="true"/>
              <w:spacing w:lineRule="auto" w:line="276"/>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138" w:hRule="atLeast"/>
        </w:trPr>
        <w:tc>
          <w:tcPr>
            <w:tcW w:w="15168" w:type="dxa"/>
            <w:tcBorders/>
            <w:shd w:color="auto" w:fill="auto" w:val="clear"/>
            <w:vAlign w:val="bottom"/>
          </w:tcPr>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Проверил:               /должность, организация/                                                /подпись/   /расшифровка подписи/</w:t>
            </w:r>
          </w:p>
          <w:p>
            <w:pPr>
              <w:pStyle w:val="Normal"/>
              <w:widowControl w:val="false"/>
              <w:snapToGrid w:val="true"/>
              <w:spacing w:lineRule="exact" w:line="240"/>
              <w:ind w:hanging="0"/>
              <w:jc w:val="left"/>
              <w:rPr>
                <w:rFonts w:cs="Times New Roman"/>
                <w:color w:val="auto"/>
                <w:sz w:val="20"/>
                <w:szCs w:val="20"/>
                <w:lang w:eastAsia="ru-RU" w:bidi="ar-SA"/>
              </w:rPr>
            </w:pPr>
            <w:r>
              <w:rPr>
                <w:rFonts w:cs="Times New Roman"/>
                <w:color w:val="auto"/>
                <w:sz w:val="20"/>
                <w:szCs w:val="20"/>
                <w:lang w:eastAsia="ru-RU" w:bidi="ar-SA"/>
              </w:rPr>
            </w:r>
          </w:p>
        </w:tc>
      </w:tr>
    </w:tbl>
    <w:p>
      <w:pPr>
        <w:pStyle w:val="Normal"/>
        <w:widowControl/>
        <w:snapToGrid w:val="true"/>
        <w:spacing w:lineRule="auto" w:line="276" w:before="0" w:after="200"/>
        <w:ind w:hanging="0"/>
        <w:jc w:val="left"/>
        <w:rPr>
          <w:rFonts w:cs="Times New Roman"/>
          <w:color w:val="auto"/>
          <w:sz w:val="20"/>
          <w:szCs w:val="20"/>
          <w:lang w:eastAsia="ru-RU" w:bidi="ar-SA"/>
        </w:rPr>
      </w:pPr>
      <w:r>
        <w:rPr>
          <w:rFonts w:cs="Times New Roman"/>
          <w:color w:val="auto"/>
          <w:sz w:val="20"/>
          <w:szCs w:val="20"/>
          <w:lang w:eastAsia="ru-RU" w:bidi="ar-SA"/>
        </w:rPr>
      </w:r>
      <w:r>
        <w:br w:type="page"/>
      </w:r>
    </w:p>
    <w:p>
      <w:pPr>
        <w:pStyle w:val="Normal"/>
        <w:widowControl/>
        <w:snapToGrid w:val="true"/>
        <w:ind w:left="5811" w:hanging="0"/>
        <w:jc w:val="right"/>
        <w:rPr>
          <w:rFonts w:cs="Times New Roman"/>
          <w:sz w:val="20"/>
          <w:szCs w:val="20"/>
          <w:lang w:eastAsia="ru-RU" w:bidi="ar-SA"/>
        </w:rPr>
      </w:pPr>
      <w:r>
        <w:rPr>
          <w:rFonts w:cs="Times New Roman"/>
          <w:sz w:val="20"/>
          <w:szCs w:val="20"/>
          <w:lang w:eastAsia="ru-RU" w:bidi="ar-SA"/>
        </w:rPr>
        <w:t xml:space="preserve">Приложение№1.3 </w:t>
      </w:r>
    </w:p>
    <w:p>
      <w:pPr>
        <w:pStyle w:val="Normal"/>
        <w:widowControl/>
        <w:snapToGrid w:val="true"/>
        <w:ind w:left="5811" w:hanging="0"/>
        <w:jc w:val="right"/>
        <w:rPr>
          <w:rFonts w:cs="Times New Roman"/>
          <w:sz w:val="20"/>
          <w:szCs w:val="20"/>
          <w:lang w:eastAsia="ru-RU" w:bidi="ar-SA"/>
        </w:rPr>
      </w:pPr>
      <w:r>
        <w:rPr>
          <w:rFonts w:cs="Times New Roman"/>
          <w:sz w:val="20"/>
          <w:szCs w:val="20"/>
          <w:lang w:eastAsia="ru-RU" w:bidi="ar-SA"/>
        </w:rPr>
        <w:t xml:space="preserve">                                                                                                                                                                                                </w:t>
      </w:r>
    </w:p>
    <w:p>
      <w:pPr>
        <w:pStyle w:val="Normal"/>
        <w:snapToGrid w:val="true"/>
        <w:ind w:left="5811" w:firstLine="720"/>
        <w:jc w:val="right"/>
        <w:rPr>
          <w:rFonts w:cs="Times New Roman"/>
          <w:color w:val="auto"/>
          <w:sz w:val="20"/>
          <w:szCs w:val="20"/>
          <w:lang w:eastAsia="ru-RU" w:bidi="ar-SA"/>
        </w:rPr>
      </w:pPr>
      <w:r>
        <w:rPr>
          <w:rFonts w:cs="Times New Roman"/>
          <w:color w:val="auto"/>
          <w:sz w:val="20"/>
          <w:szCs w:val="20"/>
          <w:lang w:eastAsia="ru-RU" w:bidi="ar-SA"/>
        </w:rPr>
        <w:t xml:space="preserve">к Требованиям к оформлению и составлению               </w:t>
      </w:r>
    </w:p>
    <w:p>
      <w:pPr>
        <w:pStyle w:val="Normal"/>
        <w:snapToGrid w:val="true"/>
        <w:ind w:left="5811" w:firstLine="720"/>
        <w:jc w:val="right"/>
        <w:rPr>
          <w:rFonts w:cs="Times New Roman"/>
          <w:color w:val="auto"/>
          <w:sz w:val="20"/>
          <w:szCs w:val="20"/>
          <w:lang w:eastAsia="ru-RU" w:bidi="ar-SA"/>
        </w:rPr>
      </w:pPr>
      <w:r>
        <w:rPr>
          <w:rFonts w:cs="Times New Roman"/>
          <w:color w:val="auto"/>
          <w:sz w:val="20"/>
          <w:szCs w:val="20"/>
          <w:lang w:eastAsia="ru-RU" w:bidi="ar-SA"/>
        </w:rPr>
        <w:t xml:space="preserve">сметной документации по ценообразованию </w:t>
      </w:r>
    </w:p>
    <w:p>
      <w:pPr>
        <w:pStyle w:val="Normal"/>
        <w:widowControl/>
        <w:snapToGrid w:val="true"/>
        <w:ind w:hanging="0"/>
        <w:jc w:val="left"/>
        <w:rPr>
          <w:rFonts w:cs="Times New Roman"/>
          <w:b/>
          <w:sz w:val="20"/>
          <w:szCs w:val="20"/>
          <w:lang w:eastAsia="ru-RU" w:bidi="ar-SA"/>
        </w:rPr>
      </w:pPr>
      <w:r>
        <w:rPr>
          <w:rFonts w:cs="Times New Roman"/>
          <w:b/>
          <w:sz w:val="20"/>
          <w:szCs w:val="20"/>
          <w:lang w:eastAsia="ru-RU" w:bidi="ar-SA"/>
        </w:rPr>
        <w:t>ОБРАЗЕЦ</w:t>
      </w:r>
    </w:p>
    <w:p>
      <w:pPr>
        <w:pStyle w:val="Normal"/>
        <w:widowControl/>
        <w:snapToGrid w:val="true"/>
        <w:ind w:hanging="0"/>
        <w:jc w:val="left"/>
        <w:rPr>
          <w:rFonts w:cs="Times New Roman"/>
          <w:sz w:val="20"/>
          <w:szCs w:val="20"/>
          <w:lang w:eastAsia="ru-RU" w:bidi="ar-SA"/>
        </w:rPr>
      </w:pPr>
      <w:r>
        <w:rPr>
          <w:rFonts w:cs="Times New Roman"/>
          <w:sz w:val="20"/>
          <w:szCs w:val="20"/>
          <w:lang w:eastAsia="ru-RU" w:bidi="ar-SA"/>
        </w:rPr>
      </w:r>
    </w:p>
    <w:tbl>
      <w:tblPr>
        <w:tblW w:w="50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1253"/>
        <w:gridCol w:w="1289"/>
        <w:gridCol w:w="7"/>
        <w:gridCol w:w="669"/>
        <w:gridCol w:w="7"/>
        <w:gridCol w:w="2761"/>
        <w:gridCol w:w="5"/>
        <w:gridCol w:w="977"/>
        <w:gridCol w:w="1080"/>
        <w:gridCol w:w="652"/>
        <w:gridCol w:w="1021"/>
        <w:gridCol w:w="1065"/>
        <w:gridCol w:w="652"/>
        <w:gridCol w:w="1023"/>
        <w:gridCol w:w="500"/>
        <w:gridCol w:w="676"/>
        <w:gridCol w:w="2190"/>
        <w:gridCol w:w="6"/>
      </w:tblGrid>
      <w:tr>
        <w:trPr>
          <w:trHeight w:val="20" w:hRule="atLeast"/>
        </w:trPr>
        <w:tc>
          <w:tcPr>
            <w:tcW w:w="3218" w:type="dxa"/>
            <w:gridSpan w:val="4"/>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xml:space="preserve">Наименование редакции сметных нормативов  </w:t>
            </w:r>
          </w:p>
        </w:tc>
        <w:tc>
          <w:tcPr>
            <w:tcW w:w="12609" w:type="dxa"/>
            <w:gridSpan w:val="13"/>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6" w:type="dxa"/>
            <w:tcBorders/>
          </w:tcPr>
          <w:p>
            <w:pPr>
              <w:pStyle w:val="Normal"/>
              <w:widowControl w:val="false"/>
              <w:rPr/>
            </w:pPr>
            <w:r>
              <w:rPr/>
            </w:r>
          </w:p>
        </w:tc>
      </w:tr>
      <w:tr>
        <w:trPr>
          <w:trHeight w:val="20" w:hRule="atLeast"/>
        </w:trPr>
        <w:tc>
          <w:tcPr>
            <w:tcW w:w="3218" w:type="dxa"/>
            <w:gridSpan w:val="4"/>
            <w:tcBorders/>
            <w:shd w:color="auto" w:fill="auto" w:val="clear"/>
            <w:vAlign w:val="bottom"/>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Наименование программного продукта</w:t>
            </w:r>
          </w:p>
        </w:tc>
        <w:tc>
          <w:tcPr>
            <w:tcW w:w="3750" w:type="dxa"/>
            <w:gridSpan w:val="4"/>
            <w:tcBorders>
              <w:bottom w:val="single" w:sz="4" w:space="0" w:color="000000"/>
            </w:tcBorders>
            <w:shd w:color="auto" w:fill="auto" w:val="clear"/>
            <w:vAlign w:val="bottom"/>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ПК "ГРАНД-Смета 202</w:t>
            </w:r>
            <w:r>
              <w:rPr>
                <w:rFonts w:cs="Times New Roman"/>
                <w:sz w:val="20"/>
                <w:szCs w:val="20"/>
                <w:lang w:eastAsia="ru-RU" w:bidi="ar-SA"/>
              </w:rPr>
              <w:t>5.2</w:t>
            </w:r>
            <w:r>
              <w:rPr>
                <w:rFonts w:cs="Times New Roman"/>
                <w:sz w:val="20"/>
                <w:szCs w:val="20"/>
                <w:lang w:eastAsia="ru-RU" w:bidi="ar-SA"/>
              </w:rPr>
              <w:t>"</w:t>
            </w:r>
          </w:p>
        </w:tc>
        <w:tc>
          <w:tcPr>
            <w:tcW w:w="1080" w:type="dxa"/>
            <w:tcBorders>
              <w:bottom w:val="single" w:sz="4" w:space="0" w:color="000000"/>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w:t>
            </w:r>
          </w:p>
        </w:tc>
        <w:tc>
          <w:tcPr>
            <w:tcW w:w="652" w:type="dxa"/>
            <w:tcBorders>
              <w:bottom w:val="single" w:sz="4" w:space="0" w:color="000000"/>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w:t>
            </w:r>
          </w:p>
        </w:tc>
        <w:tc>
          <w:tcPr>
            <w:tcW w:w="1021" w:type="dxa"/>
            <w:tcBorders>
              <w:bottom w:val="single" w:sz="4" w:space="0" w:color="000000"/>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w:t>
            </w:r>
          </w:p>
        </w:tc>
        <w:tc>
          <w:tcPr>
            <w:tcW w:w="1065" w:type="dxa"/>
            <w:tcBorders>
              <w:bottom w:val="single" w:sz="4" w:space="0" w:color="000000"/>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w:t>
            </w:r>
          </w:p>
        </w:tc>
        <w:tc>
          <w:tcPr>
            <w:tcW w:w="652" w:type="dxa"/>
            <w:tcBorders>
              <w:bottom w:val="single" w:sz="4" w:space="0" w:color="000000"/>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w:t>
            </w:r>
          </w:p>
        </w:tc>
        <w:tc>
          <w:tcPr>
            <w:tcW w:w="1023" w:type="dxa"/>
            <w:tcBorders>
              <w:bottom w:val="single" w:sz="4" w:space="0" w:color="000000"/>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w:t>
            </w:r>
          </w:p>
        </w:tc>
        <w:tc>
          <w:tcPr>
            <w:tcW w:w="500" w:type="dxa"/>
            <w:tcBorders>
              <w:bottom w:val="single" w:sz="4" w:space="0" w:color="000000"/>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w:t>
            </w:r>
          </w:p>
        </w:tc>
        <w:tc>
          <w:tcPr>
            <w:tcW w:w="676" w:type="dxa"/>
            <w:tcBorders>
              <w:bottom w:val="single" w:sz="4" w:space="0" w:color="000000"/>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w:t>
            </w:r>
          </w:p>
        </w:tc>
        <w:tc>
          <w:tcPr>
            <w:tcW w:w="2196" w:type="dxa"/>
            <w:gridSpan w:val="2"/>
            <w:tcBorders>
              <w:bottom w:val="single" w:sz="4" w:space="0" w:color="000000"/>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w:t>
            </w:r>
          </w:p>
        </w:tc>
      </w:tr>
      <w:tr>
        <w:trPr>
          <w:trHeight w:val="20" w:hRule="atLeast"/>
        </w:trPr>
        <w:tc>
          <w:tcPr>
            <w:tcW w:w="15827" w:type="dxa"/>
            <w:gridSpan w:val="17"/>
            <w:tcBorders>
              <w:top w:val="single" w:sz="4" w:space="0" w:color="000000"/>
            </w:tcBorders>
            <w:shd w:color="auto" w:fill="auto" w:val="clear"/>
          </w:tcPr>
          <w:p>
            <w:pPr>
              <w:pStyle w:val="Normal"/>
              <w:widowControl w:val="false"/>
              <w:snapToGrid w:val="true"/>
              <w:ind w:hanging="0"/>
              <w:jc w:val="center"/>
              <w:rPr>
                <w:rFonts w:cs="Times New Roman"/>
                <w:i/>
                <w:i/>
                <w:iCs/>
                <w:sz w:val="20"/>
                <w:szCs w:val="20"/>
                <w:lang w:eastAsia="ru-RU" w:bidi="ar-SA"/>
              </w:rPr>
            </w:pPr>
            <w:r>
              <w:rPr>
                <w:rFonts w:cs="Times New Roman"/>
                <w:i/>
                <w:iCs/>
                <w:sz w:val="20"/>
                <w:szCs w:val="20"/>
                <w:lang w:eastAsia="ru-RU" w:bidi="ar-SA"/>
              </w:rPr>
              <w:t>(наименование стройки)</w:t>
            </w:r>
          </w:p>
        </w:tc>
        <w:tc>
          <w:tcPr>
            <w:tcW w:w="6" w:type="dxa"/>
            <w:tcBorders/>
          </w:tcPr>
          <w:p>
            <w:pPr>
              <w:pStyle w:val="Normal"/>
              <w:widowControl w:val="false"/>
              <w:rPr/>
            </w:pPr>
            <w:r>
              <w:rPr/>
            </w:r>
          </w:p>
        </w:tc>
      </w:tr>
      <w:tr>
        <w:trPr>
          <w:trHeight w:val="20" w:hRule="atLeast"/>
        </w:trPr>
        <w:tc>
          <w:tcPr>
            <w:tcW w:w="15827" w:type="dxa"/>
            <w:gridSpan w:val="17"/>
            <w:tcBorders/>
            <w:shd w:color="auto" w:fill="auto" w:val="clear"/>
            <w:vAlign w:val="bottom"/>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6" w:type="dxa"/>
            <w:tcBorders/>
          </w:tcPr>
          <w:p>
            <w:pPr>
              <w:pStyle w:val="Normal"/>
              <w:widowControl w:val="false"/>
              <w:rPr/>
            </w:pPr>
            <w:r>
              <w:rPr/>
            </w:r>
          </w:p>
        </w:tc>
      </w:tr>
      <w:tr>
        <w:trPr>
          <w:trHeight w:val="20" w:hRule="atLeast"/>
        </w:trPr>
        <w:tc>
          <w:tcPr>
            <w:tcW w:w="15827" w:type="dxa"/>
            <w:gridSpan w:val="17"/>
            <w:tcBorders>
              <w:top w:val="single" w:sz="4" w:space="0" w:color="000000"/>
            </w:tcBorders>
            <w:shd w:color="auto" w:fill="auto" w:val="clear"/>
          </w:tcPr>
          <w:p>
            <w:pPr>
              <w:pStyle w:val="Normal"/>
              <w:widowControl w:val="false"/>
              <w:snapToGrid w:val="true"/>
              <w:ind w:hanging="0"/>
              <w:jc w:val="center"/>
              <w:rPr>
                <w:rFonts w:cs="Times New Roman"/>
                <w:i/>
                <w:i/>
                <w:iCs/>
                <w:sz w:val="20"/>
                <w:szCs w:val="20"/>
                <w:lang w:eastAsia="ru-RU" w:bidi="ar-SA"/>
              </w:rPr>
            </w:pPr>
            <w:r>
              <w:rPr>
                <w:rFonts w:cs="Times New Roman"/>
                <w:i/>
                <w:iCs/>
                <w:sz w:val="20"/>
                <w:szCs w:val="20"/>
                <w:lang w:eastAsia="ru-RU" w:bidi="ar-SA"/>
              </w:rPr>
              <w:t>(наименование объекта капитального строительства)</w:t>
            </w:r>
          </w:p>
        </w:tc>
        <w:tc>
          <w:tcPr>
            <w:tcW w:w="6" w:type="dxa"/>
            <w:tcBorders/>
          </w:tcPr>
          <w:p>
            <w:pPr>
              <w:pStyle w:val="Normal"/>
              <w:widowControl w:val="false"/>
              <w:rPr/>
            </w:pPr>
            <w:r>
              <w:rPr/>
            </w:r>
          </w:p>
        </w:tc>
      </w:tr>
      <w:tr>
        <w:trPr>
          <w:trHeight w:val="20" w:hRule="atLeast"/>
        </w:trPr>
        <w:tc>
          <w:tcPr>
            <w:tcW w:w="15827" w:type="dxa"/>
            <w:gridSpan w:val="17"/>
            <w:tcBorders/>
            <w:shd w:color="auto" w:fill="auto" w:val="clear"/>
            <w:vAlign w:val="bottom"/>
          </w:tcPr>
          <w:p>
            <w:pPr>
              <w:pStyle w:val="Normal"/>
              <w:widowControl w:val="false"/>
              <w:snapToGrid w:val="true"/>
              <w:ind w:hanging="0"/>
              <w:jc w:val="center"/>
              <w:rPr>
                <w:rFonts w:cs="Times New Roman"/>
                <w:b/>
                <w:bCs/>
                <w:sz w:val="20"/>
                <w:szCs w:val="20"/>
                <w:lang w:eastAsia="ru-RU" w:bidi="ar-SA"/>
              </w:rPr>
            </w:pPr>
            <w:r>
              <w:rPr>
                <w:rFonts w:cs="Times New Roman"/>
                <w:b/>
                <w:bCs/>
                <w:sz w:val="20"/>
                <w:szCs w:val="20"/>
                <w:lang w:eastAsia="ru-RU" w:bidi="ar-SA"/>
              </w:rPr>
              <w:t xml:space="preserve">ЛОКАЛЬНЫЙ СМЕТНЫЙ РАСЧЕТ (СМЕТА) № </w:t>
            </w:r>
          </w:p>
        </w:tc>
        <w:tc>
          <w:tcPr>
            <w:tcW w:w="6" w:type="dxa"/>
            <w:tcBorders/>
          </w:tcPr>
          <w:p>
            <w:pPr>
              <w:pStyle w:val="Normal"/>
              <w:widowControl w:val="false"/>
              <w:rPr/>
            </w:pPr>
            <w:r>
              <w:rPr/>
            </w:r>
          </w:p>
        </w:tc>
      </w:tr>
      <w:tr>
        <w:trPr>
          <w:trHeight w:val="20" w:hRule="atLeast"/>
        </w:trPr>
        <w:tc>
          <w:tcPr>
            <w:tcW w:w="15827" w:type="dxa"/>
            <w:gridSpan w:val="17"/>
            <w:tcBorders>
              <w:bottom w:val="single" w:sz="4" w:space="0" w:color="000000"/>
            </w:tcBorders>
            <w:shd w:color="auto" w:fill="auto" w:val="clear"/>
            <w:vAlign w:val="bottom"/>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r>
          </w:p>
        </w:tc>
        <w:tc>
          <w:tcPr>
            <w:tcW w:w="6" w:type="dxa"/>
            <w:tcBorders/>
          </w:tcPr>
          <w:p>
            <w:pPr>
              <w:pStyle w:val="Normal"/>
              <w:widowControl w:val="false"/>
              <w:rPr/>
            </w:pPr>
            <w:r>
              <w:rPr/>
            </w:r>
          </w:p>
        </w:tc>
      </w:tr>
      <w:tr>
        <w:trPr>
          <w:trHeight w:val="20" w:hRule="atLeast"/>
        </w:trPr>
        <w:tc>
          <w:tcPr>
            <w:tcW w:w="15827" w:type="dxa"/>
            <w:gridSpan w:val="17"/>
            <w:tcBorders>
              <w:top w:val="single" w:sz="4" w:space="0" w:color="000000"/>
            </w:tcBorders>
            <w:shd w:color="auto" w:fill="auto" w:val="clear"/>
          </w:tcPr>
          <w:p>
            <w:pPr>
              <w:pStyle w:val="Normal"/>
              <w:widowControl w:val="false"/>
              <w:snapToGrid w:val="true"/>
              <w:ind w:hanging="0"/>
              <w:jc w:val="center"/>
              <w:rPr>
                <w:rFonts w:cs="Times New Roman"/>
                <w:i/>
                <w:i/>
                <w:iCs/>
                <w:sz w:val="20"/>
                <w:szCs w:val="20"/>
                <w:lang w:eastAsia="ru-RU" w:bidi="ar-SA"/>
              </w:rPr>
            </w:pPr>
            <w:r>
              <w:rPr>
                <w:rFonts w:cs="Times New Roman"/>
                <w:i/>
                <w:iCs/>
                <w:sz w:val="20"/>
                <w:szCs w:val="20"/>
                <w:lang w:eastAsia="ru-RU" w:bidi="ar-SA"/>
              </w:rPr>
              <w:t>(наименование конструктивного решения)</w:t>
            </w:r>
          </w:p>
        </w:tc>
        <w:tc>
          <w:tcPr>
            <w:tcW w:w="6" w:type="dxa"/>
            <w:tcBorders/>
          </w:tcPr>
          <w:p>
            <w:pPr>
              <w:pStyle w:val="Normal"/>
              <w:widowControl w:val="false"/>
              <w:rPr/>
            </w:pPr>
            <w:r>
              <w:rPr/>
            </w:r>
          </w:p>
        </w:tc>
      </w:tr>
      <w:tr>
        <w:trPr>
          <w:trHeight w:val="20" w:hRule="atLeast"/>
        </w:trPr>
        <w:tc>
          <w:tcPr>
            <w:tcW w:w="1253" w:type="dxa"/>
            <w:tcBorders/>
            <w:shd w:color="auto" w:fill="auto" w:val="clear"/>
            <w:vAlign w:val="bottom"/>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 xml:space="preserve">Составлен </w:t>
            </w:r>
          </w:p>
        </w:tc>
        <w:tc>
          <w:tcPr>
            <w:tcW w:w="1296" w:type="dxa"/>
            <w:gridSpan w:val="2"/>
            <w:tcBorders>
              <w:bottom w:val="single" w:sz="4" w:space="0" w:color="000000"/>
            </w:tcBorders>
            <w:shd w:color="auto" w:fill="auto" w:val="clear"/>
            <w:vAlign w:val="bottom"/>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базисно-индексным</w:t>
            </w:r>
          </w:p>
        </w:tc>
        <w:tc>
          <w:tcPr>
            <w:tcW w:w="676" w:type="dxa"/>
            <w:gridSpan w:val="2"/>
            <w:tcBorders/>
            <w:shd w:color="auto" w:fill="auto" w:val="clear"/>
            <w:vAlign w:val="bottom"/>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методом</w:t>
            </w:r>
          </w:p>
        </w:tc>
        <w:tc>
          <w:tcPr>
            <w:tcW w:w="2766" w:type="dxa"/>
            <w:gridSpan w:val="2"/>
            <w:tcBorders/>
            <w:shd w:color="auto" w:fill="auto" w:val="clear"/>
            <w:vAlign w:val="bottom"/>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977"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80"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21"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65"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23"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500"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76"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2196" w:type="dxa"/>
            <w:gridSpan w:val="2"/>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20" w:hRule="atLeast"/>
        </w:trPr>
        <w:tc>
          <w:tcPr>
            <w:tcW w:w="1253" w:type="dxa"/>
            <w:tcBorders/>
            <w:shd w:color="auto" w:fill="auto" w:val="clear"/>
            <w:vAlign w:val="bottom"/>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Основание</w:t>
            </w:r>
          </w:p>
        </w:tc>
        <w:tc>
          <w:tcPr>
            <w:tcW w:w="6795" w:type="dxa"/>
            <w:gridSpan w:val="8"/>
            <w:tcBorders>
              <w:bottom w:val="single" w:sz="4" w:space="0" w:color="000000"/>
            </w:tcBorders>
            <w:shd w:color="auto" w:fill="auto" w:val="clear"/>
            <w:vAlign w:val="bottom"/>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r>
          </w:p>
        </w:tc>
        <w:tc>
          <w:tcPr>
            <w:tcW w:w="652" w:type="dxa"/>
            <w:tcBorders/>
            <w:shd w:color="auto" w:fill="auto" w:val="clear"/>
            <w:vAlign w:val="bottom"/>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r>
          </w:p>
        </w:tc>
        <w:tc>
          <w:tcPr>
            <w:tcW w:w="1021"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65"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23"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500"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76"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2196" w:type="dxa"/>
            <w:gridSpan w:val="2"/>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20" w:hRule="atLeast"/>
        </w:trPr>
        <w:tc>
          <w:tcPr>
            <w:tcW w:w="1253"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795" w:type="dxa"/>
            <w:gridSpan w:val="8"/>
            <w:tcBorders>
              <w:top w:val="single" w:sz="4" w:space="0" w:color="000000"/>
            </w:tcBorders>
            <w:shd w:color="auto" w:fill="auto" w:val="clear"/>
            <w:vAlign w:val="bottom"/>
          </w:tcPr>
          <w:p>
            <w:pPr>
              <w:pStyle w:val="Normal"/>
              <w:widowControl w:val="false"/>
              <w:snapToGrid w:val="true"/>
              <w:ind w:hanging="0"/>
              <w:jc w:val="center"/>
              <w:rPr>
                <w:rFonts w:cs="Times New Roman"/>
                <w:i/>
                <w:i/>
                <w:iCs/>
                <w:sz w:val="20"/>
                <w:szCs w:val="20"/>
                <w:lang w:eastAsia="ru-RU" w:bidi="ar-SA"/>
              </w:rPr>
            </w:pPr>
            <w:r>
              <w:rPr>
                <w:rFonts w:cs="Times New Roman"/>
                <w:i/>
                <w:iCs/>
                <w:sz w:val="20"/>
                <w:szCs w:val="20"/>
                <w:lang w:eastAsia="ru-RU" w:bidi="ar-SA"/>
              </w:rPr>
              <w:t>(проектная и (или) иная техническая документация)</w:t>
            </w:r>
          </w:p>
        </w:tc>
        <w:tc>
          <w:tcPr>
            <w:tcW w:w="652" w:type="dxa"/>
            <w:tcBorders/>
            <w:shd w:color="auto" w:fill="auto" w:val="clear"/>
            <w:vAlign w:val="bottom"/>
          </w:tcPr>
          <w:p>
            <w:pPr>
              <w:pStyle w:val="Normal"/>
              <w:widowControl w:val="false"/>
              <w:snapToGrid w:val="true"/>
              <w:ind w:hanging="0"/>
              <w:jc w:val="center"/>
              <w:rPr>
                <w:rFonts w:cs="Times New Roman"/>
                <w:i/>
                <w:i/>
                <w:iCs/>
                <w:sz w:val="20"/>
                <w:szCs w:val="20"/>
                <w:lang w:eastAsia="ru-RU" w:bidi="ar-SA"/>
              </w:rPr>
            </w:pPr>
            <w:r>
              <w:rPr>
                <w:rFonts w:cs="Times New Roman"/>
                <w:i/>
                <w:iCs/>
                <w:sz w:val="20"/>
                <w:szCs w:val="20"/>
                <w:lang w:eastAsia="ru-RU" w:bidi="ar-SA"/>
              </w:rPr>
            </w:r>
          </w:p>
        </w:tc>
        <w:tc>
          <w:tcPr>
            <w:tcW w:w="1021"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65"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23"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500"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76" w:type="dxa"/>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2196" w:type="dxa"/>
            <w:gridSpan w:val="2"/>
            <w:tcBorders/>
            <w:shd w:color="auto" w:fill="auto" w:val="clear"/>
            <w:vAlign w:val="bottom"/>
          </w:tcPr>
          <w:p>
            <w:pPr>
              <w:pStyle w:val="Normal"/>
              <w:widowControl w:val="false"/>
              <w:snapToGrid w:val="true"/>
              <w:ind w:hanging="0"/>
              <w:jc w:val="right"/>
              <w:rPr>
                <w:rFonts w:cs="Times New Roman"/>
                <w:color w:val="auto"/>
                <w:sz w:val="20"/>
                <w:szCs w:val="20"/>
                <w:lang w:eastAsia="ru-RU" w:bidi="ar-SA"/>
              </w:rPr>
            </w:pPr>
            <w:r>
              <w:rPr>
                <w:rFonts w:cs="Times New Roman"/>
                <w:color w:val="auto"/>
                <w:sz w:val="20"/>
                <w:szCs w:val="20"/>
                <w:lang w:eastAsia="ru-RU" w:bidi="ar-SA"/>
              </w:rPr>
            </w:r>
          </w:p>
        </w:tc>
      </w:tr>
      <w:tr>
        <w:trPr>
          <w:trHeight w:val="20" w:hRule="atLeast"/>
        </w:trPr>
        <w:tc>
          <w:tcPr>
            <w:tcW w:w="3218" w:type="dxa"/>
            <w:gridSpan w:val="4"/>
            <w:tcBorders/>
            <w:shd w:color="auto" w:fill="auto" w:val="clear"/>
            <w:vAlign w:val="bottom"/>
          </w:tcPr>
          <w:p>
            <w:pPr>
              <w:pStyle w:val="Normal"/>
              <w:widowControl w:val="false"/>
              <w:snapToGrid w:val="true"/>
              <w:ind w:hanging="0"/>
              <w:jc w:val="left"/>
              <w:rPr>
                <w:rFonts w:cs="Times New Roman"/>
                <w:b/>
                <w:bCs/>
                <w:sz w:val="20"/>
                <w:szCs w:val="20"/>
                <w:lang w:eastAsia="ru-RU" w:bidi="ar-SA"/>
              </w:rPr>
            </w:pPr>
            <w:r>
              <w:rPr>
                <w:rFonts w:cs="Times New Roman"/>
                <w:b/>
                <w:bCs/>
                <w:sz w:val="20"/>
                <w:szCs w:val="20"/>
                <w:lang w:eastAsia="ru-RU" w:bidi="ar-SA"/>
              </w:rPr>
              <w:t xml:space="preserve">Составлен(а) в текущем (базисном) уровне цен </w:t>
            </w:r>
          </w:p>
        </w:tc>
        <w:tc>
          <w:tcPr>
            <w:tcW w:w="2768" w:type="dxa"/>
            <w:gridSpan w:val="2"/>
            <w:tcBorders>
              <w:bottom w:val="single" w:sz="4" w:space="0" w:color="000000"/>
            </w:tcBorders>
            <w:shd w:color="auto" w:fill="auto" w:val="clear"/>
            <w:vAlign w:val="bottom"/>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соответствующих периоду выполнения работ по договору</w:t>
            </w:r>
          </w:p>
        </w:tc>
        <w:tc>
          <w:tcPr>
            <w:tcW w:w="982" w:type="dxa"/>
            <w:gridSpan w:val="2"/>
            <w:tcBorders/>
            <w:shd w:color="auto" w:fill="auto" w:val="clear"/>
            <w:vAlign w:val="bottom"/>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1080"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52" w:type="dxa"/>
            <w:tcBorders/>
            <w:shd w:color="auto" w:fill="auto" w:val="clear"/>
            <w:vAlign w:val="bottom"/>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021" w:type="dxa"/>
            <w:tcBorders/>
            <w:shd w:color="auto" w:fill="auto" w:val="clear"/>
            <w:vAlign w:val="bottom"/>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065" w:type="dxa"/>
            <w:tcBorders/>
            <w:shd w:color="auto" w:fill="auto" w:val="clear"/>
            <w:vAlign w:val="bottom"/>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652" w:type="dxa"/>
            <w:tcBorders/>
            <w:shd w:color="auto" w:fill="auto" w:val="clear"/>
            <w:vAlign w:val="bottom"/>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023" w:type="dxa"/>
            <w:tcBorders/>
            <w:shd w:color="auto" w:fill="auto" w:val="clear"/>
            <w:vAlign w:val="bottom"/>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500" w:type="dxa"/>
            <w:tcBorders/>
            <w:shd w:color="auto" w:fill="auto" w:val="clear"/>
            <w:vAlign w:val="bottom"/>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676" w:type="dxa"/>
            <w:tcBorders/>
            <w:shd w:color="auto" w:fill="auto" w:val="clear"/>
            <w:vAlign w:val="bottom"/>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2196" w:type="dxa"/>
            <w:gridSpan w:val="2"/>
            <w:tcBorders/>
            <w:shd w:color="auto" w:fill="auto" w:val="clear"/>
            <w:vAlign w:val="bottom"/>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r>
      <w:tr>
        <w:trPr>
          <w:trHeight w:val="20" w:hRule="atLeast"/>
        </w:trPr>
        <w:tc>
          <w:tcPr>
            <w:tcW w:w="2542" w:type="dxa"/>
            <w:gridSpan w:val="2"/>
            <w:tcBorders/>
            <w:shd w:color="auto" w:fill="auto" w:val="clear"/>
            <w:vAlign w:val="bottom"/>
          </w:tcPr>
          <w:p>
            <w:pPr>
              <w:pStyle w:val="Normal"/>
              <w:widowControl w:val="false"/>
              <w:snapToGrid w:val="true"/>
              <w:ind w:hanging="0"/>
              <w:jc w:val="left"/>
              <w:rPr>
                <w:rFonts w:cs="Times New Roman"/>
                <w:b/>
                <w:bCs/>
                <w:sz w:val="20"/>
                <w:szCs w:val="20"/>
                <w:lang w:eastAsia="ru-RU" w:bidi="ar-SA"/>
              </w:rPr>
            </w:pPr>
            <w:r>
              <w:rPr>
                <w:rFonts w:cs="Times New Roman"/>
                <w:b/>
                <w:bCs/>
                <w:sz w:val="20"/>
                <w:szCs w:val="20"/>
                <w:lang w:eastAsia="ru-RU" w:bidi="ar-SA"/>
              </w:rPr>
              <w:t xml:space="preserve">Сметная стоимость </w:t>
            </w:r>
          </w:p>
        </w:tc>
        <w:tc>
          <w:tcPr>
            <w:tcW w:w="676"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20"/>
                <w:szCs w:val="20"/>
                <w:lang w:eastAsia="ru-RU" w:bidi="ar-SA"/>
              </w:rPr>
            </w:pPr>
            <w:r>
              <w:rPr>
                <w:rFonts w:cs="Times New Roman"/>
                <w:sz w:val="20"/>
                <w:szCs w:val="20"/>
                <w:lang w:eastAsia="ru-RU" w:bidi="ar-SA"/>
              </w:rPr>
            </w:r>
          </w:p>
        </w:tc>
        <w:tc>
          <w:tcPr>
            <w:tcW w:w="2768"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20"/>
                <w:szCs w:val="20"/>
                <w:lang w:eastAsia="ru-RU" w:bidi="ar-SA"/>
              </w:rPr>
            </w:pPr>
            <w:r>
              <w:rPr>
                <w:rFonts w:cs="Times New Roman"/>
                <w:sz w:val="20"/>
                <w:szCs w:val="20"/>
                <w:lang w:eastAsia="ru-RU" w:bidi="ar-SA"/>
              </w:rPr>
            </w:r>
          </w:p>
        </w:tc>
        <w:tc>
          <w:tcPr>
            <w:tcW w:w="982" w:type="dxa"/>
            <w:gridSpan w:val="2"/>
            <w:tcBorders/>
            <w:shd w:color="auto" w:fill="auto" w:val="clea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t>тыс.руб.</w:t>
            </w:r>
          </w:p>
        </w:tc>
        <w:tc>
          <w:tcPr>
            <w:tcW w:w="1080" w:type="dxa"/>
            <w:tcBorders/>
            <w:shd w:color="auto" w:fill="auto" w:val="clear"/>
            <w:vAlign w:val="bottom"/>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21"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65"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23"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500" w:type="dxa"/>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76" w:type="dxa"/>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2196" w:type="dxa"/>
            <w:gridSpan w:val="2"/>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20" w:hRule="atLeast"/>
        </w:trPr>
        <w:tc>
          <w:tcPr>
            <w:tcW w:w="1253"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1296" w:type="dxa"/>
            <w:gridSpan w:val="2"/>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в том числе:</w:t>
            </w:r>
          </w:p>
        </w:tc>
        <w:tc>
          <w:tcPr>
            <w:tcW w:w="676" w:type="dxa"/>
            <w:gridSpan w:val="2"/>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2766" w:type="dxa"/>
            <w:gridSpan w:val="2"/>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977" w:type="dxa"/>
            <w:tcBorders/>
            <w:shd w:color="auto" w:fill="auto" w:val="clear"/>
          </w:tcPr>
          <w:p>
            <w:pPr>
              <w:pStyle w:val="Normal"/>
              <w:widowControl w:val="false"/>
              <w:snapToGrid w:val="true"/>
              <w:ind w:hanging="0"/>
              <w:jc w:val="right"/>
              <w:rPr>
                <w:rFonts w:cs="Times New Roman"/>
                <w:color w:val="auto"/>
                <w:sz w:val="16"/>
                <w:szCs w:val="16"/>
                <w:lang w:eastAsia="ru-RU" w:bidi="ar-SA"/>
              </w:rPr>
            </w:pPr>
            <w:r>
              <w:rPr>
                <w:rFonts w:cs="Times New Roman"/>
                <w:color w:val="auto"/>
                <w:sz w:val="16"/>
                <w:szCs w:val="16"/>
                <w:lang w:eastAsia="ru-RU" w:bidi="ar-SA"/>
              </w:rPr>
            </w:r>
          </w:p>
        </w:tc>
        <w:tc>
          <w:tcPr>
            <w:tcW w:w="1080"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1021"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1065"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1023"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500"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676"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2196" w:type="dxa"/>
            <w:gridSpan w:val="2"/>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r>
      <w:tr>
        <w:trPr>
          <w:trHeight w:val="20" w:hRule="atLeast"/>
        </w:trPr>
        <w:tc>
          <w:tcPr>
            <w:tcW w:w="1253" w:type="dxa"/>
            <w:tcBorders/>
            <w:shd w:color="auto" w:fill="auto" w:val="clear"/>
            <w:vAlign w:val="bottom"/>
          </w:tcPr>
          <w:p>
            <w:pPr>
              <w:pStyle w:val="Normal"/>
              <w:widowControl w:val="false"/>
              <w:snapToGrid w:val="true"/>
              <w:ind w:hanging="0"/>
              <w:jc w:val="left"/>
              <w:rPr>
                <w:rFonts w:cs="Times New Roman"/>
                <w:color w:val="auto"/>
                <w:sz w:val="16"/>
                <w:szCs w:val="16"/>
                <w:lang w:eastAsia="ru-RU" w:bidi="ar-SA"/>
              </w:rPr>
            </w:pPr>
            <w:r>
              <w:rPr>
                <w:rFonts w:cs="Times New Roman"/>
                <w:color w:val="auto"/>
                <w:sz w:val="16"/>
                <w:szCs w:val="16"/>
                <w:lang w:eastAsia="ru-RU" w:bidi="ar-SA"/>
              </w:rPr>
            </w:r>
          </w:p>
        </w:tc>
        <w:tc>
          <w:tcPr>
            <w:tcW w:w="1296" w:type="dxa"/>
            <w:gridSpan w:val="2"/>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строительных работ</w:t>
            </w:r>
          </w:p>
        </w:tc>
        <w:tc>
          <w:tcPr>
            <w:tcW w:w="676"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2766"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977" w:type="dxa"/>
            <w:tcBorders/>
            <w:shd w:color="auto" w:fill="auto" w:val="clear"/>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тыс.руб.</w:t>
            </w:r>
          </w:p>
        </w:tc>
        <w:tc>
          <w:tcPr>
            <w:tcW w:w="1080"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3390" w:type="dxa"/>
            <w:gridSpan w:val="4"/>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Средства на оплату труда рабочих</w:t>
            </w:r>
          </w:p>
        </w:tc>
        <w:tc>
          <w:tcPr>
            <w:tcW w:w="1023"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500" w:type="dxa"/>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676" w:type="dxa"/>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2196" w:type="dxa"/>
            <w:gridSpan w:val="2"/>
            <w:tcBorders/>
            <w:shd w:color="auto" w:fill="auto" w:val="clear"/>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тыс.руб.</w:t>
            </w:r>
          </w:p>
        </w:tc>
      </w:tr>
      <w:tr>
        <w:trPr>
          <w:trHeight w:val="20" w:hRule="atLeast"/>
        </w:trPr>
        <w:tc>
          <w:tcPr>
            <w:tcW w:w="1253"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1296" w:type="dxa"/>
            <w:gridSpan w:val="2"/>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монтажных работ</w:t>
            </w:r>
          </w:p>
        </w:tc>
        <w:tc>
          <w:tcPr>
            <w:tcW w:w="676"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2766"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977" w:type="dxa"/>
            <w:tcBorders/>
            <w:shd w:color="auto" w:fill="auto" w:val="clear"/>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тыс.руб.</w:t>
            </w:r>
          </w:p>
        </w:tc>
        <w:tc>
          <w:tcPr>
            <w:tcW w:w="1080"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3390" w:type="dxa"/>
            <w:gridSpan w:val="4"/>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Нормативные затраты труда рабочих</w:t>
            </w:r>
          </w:p>
        </w:tc>
        <w:tc>
          <w:tcPr>
            <w:tcW w:w="1023"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500" w:type="dxa"/>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t> </w:t>
            </w:r>
          </w:p>
        </w:tc>
        <w:tc>
          <w:tcPr>
            <w:tcW w:w="676" w:type="dxa"/>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2196" w:type="dxa"/>
            <w:gridSpan w:val="2"/>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чел.час.</w:t>
            </w:r>
          </w:p>
        </w:tc>
      </w:tr>
      <w:tr>
        <w:trPr>
          <w:trHeight w:val="20" w:hRule="atLeast"/>
        </w:trPr>
        <w:tc>
          <w:tcPr>
            <w:tcW w:w="1253"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1296" w:type="dxa"/>
            <w:gridSpan w:val="2"/>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оборудования</w:t>
            </w:r>
          </w:p>
        </w:tc>
        <w:tc>
          <w:tcPr>
            <w:tcW w:w="676"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2766"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977" w:type="dxa"/>
            <w:tcBorders/>
            <w:shd w:color="auto" w:fill="auto" w:val="clear"/>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тыс.руб.</w:t>
            </w:r>
          </w:p>
        </w:tc>
        <w:tc>
          <w:tcPr>
            <w:tcW w:w="1080"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3390" w:type="dxa"/>
            <w:gridSpan w:val="4"/>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Нормативные затраты труда машинистов</w:t>
            </w:r>
          </w:p>
        </w:tc>
        <w:tc>
          <w:tcPr>
            <w:tcW w:w="1023"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500" w:type="dxa"/>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t> </w:t>
            </w:r>
          </w:p>
        </w:tc>
        <w:tc>
          <w:tcPr>
            <w:tcW w:w="676" w:type="dxa"/>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t> </w:t>
            </w:r>
          </w:p>
        </w:tc>
        <w:tc>
          <w:tcPr>
            <w:tcW w:w="2196" w:type="dxa"/>
            <w:gridSpan w:val="2"/>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чел.час.</w:t>
            </w:r>
          </w:p>
        </w:tc>
      </w:tr>
      <w:tr>
        <w:trPr>
          <w:trHeight w:val="20" w:hRule="atLeast"/>
        </w:trPr>
        <w:tc>
          <w:tcPr>
            <w:tcW w:w="1253"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1296" w:type="dxa"/>
            <w:gridSpan w:val="2"/>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прочих затрат</w:t>
            </w:r>
          </w:p>
        </w:tc>
        <w:tc>
          <w:tcPr>
            <w:tcW w:w="676"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2766" w:type="dxa"/>
            <w:gridSpan w:val="2"/>
            <w:tcBorders>
              <w:bottom w:val="single" w:sz="4" w:space="0" w:color="000000"/>
            </w:tcBorders>
            <w:shd w:color="auto" w:fill="auto" w:val="clear"/>
            <w:vAlign w:val="bottom"/>
          </w:tcPr>
          <w:p>
            <w:pPr>
              <w:pStyle w:val="Normal"/>
              <w:widowControl w:val="false"/>
              <w:snapToGrid w:val="true"/>
              <w:ind w:hanging="0"/>
              <w:jc w:val="right"/>
              <w:rPr>
                <w:rFonts w:cs="Times New Roman"/>
                <w:sz w:val="16"/>
                <w:szCs w:val="16"/>
                <w:lang w:eastAsia="ru-RU" w:bidi="ar-SA"/>
              </w:rPr>
            </w:pPr>
            <w:r>
              <w:rPr>
                <w:rFonts w:cs="Times New Roman"/>
                <w:sz w:val="16"/>
                <w:szCs w:val="16"/>
                <w:lang w:eastAsia="ru-RU" w:bidi="ar-SA"/>
              </w:rPr>
            </w:r>
          </w:p>
        </w:tc>
        <w:tc>
          <w:tcPr>
            <w:tcW w:w="977" w:type="dxa"/>
            <w:tcBorders/>
            <w:shd w:color="auto" w:fill="auto" w:val="clear"/>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тыс.руб.</w:t>
            </w:r>
          </w:p>
        </w:tc>
        <w:tc>
          <w:tcPr>
            <w:tcW w:w="1080" w:type="dxa"/>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r>
          </w:p>
        </w:tc>
        <w:tc>
          <w:tcPr>
            <w:tcW w:w="4413" w:type="dxa"/>
            <w:gridSpan w:val="5"/>
            <w:tcBorders/>
            <w:shd w:color="auto" w:fill="auto" w:val="clear"/>
            <w:vAlign w:val="bottom"/>
          </w:tcPr>
          <w:p>
            <w:pPr>
              <w:pStyle w:val="Normal"/>
              <w:widowControl w:val="false"/>
              <w:snapToGrid w:val="true"/>
              <w:ind w:hanging="0"/>
              <w:jc w:val="left"/>
              <w:rPr>
                <w:rFonts w:cs="Times New Roman"/>
                <w:sz w:val="16"/>
                <w:szCs w:val="16"/>
                <w:lang w:eastAsia="ru-RU" w:bidi="ar-SA"/>
              </w:rPr>
            </w:pPr>
            <w:r>
              <w:rPr>
                <w:rFonts w:cs="Times New Roman"/>
                <w:sz w:val="16"/>
                <w:szCs w:val="16"/>
                <w:lang w:eastAsia="ru-RU" w:bidi="ar-SA"/>
              </w:rPr>
              <w:t xml:space="preserve">Расчетный измеритель конструктивного решения  </w:t>
            </w:r>
          </w:p>
        </w:tc>
        <w:tc>
          <w:tcPr>
            <w:tcW w:w="1176" w:type="dxa"/>
            <w:gridSpan w:val="2"/>
            <w:tcBorders>
              <w:top w:val="single" w:sz="4" w:space="0" w:color="000000"/>
              <w:bottom w:val="single" w:sz="4" w:space="0" w:color="000000"/>
            </w:tcBorders>
            <w:shd w:color="auto" w:fill="auto" w:val="clear"/>
            <w:vAlign w:val="bottom"/>
          </w:tcPr>
          <w:p>
            <w:pPr>
              <w:pStyle w:val="Normal"/>
              <w:widowControl w:val="false"/>
              <w:snapToGrid w:val="true"/>
              <w:ind w:hanging="0"/>
              <w:jc w:val="center"/>
              <w:rPr>
                <w:rFonts w:cs="Times New Roman"/>
                <w:sz w:val="16"/>
                <w:szCs w:val="16"/>
                <w:lang w:eastAsia="ru-RU" w:bidi="ar-SA"/>
              </w:rPr>
            </w:pPr>
            <w:r>
              <w:rPr>
                <w:rFonts w:cs="Times New Roman"/>
                <w:sz w:val="16"/>
                <w:szCs w:val="16"/>
                <w:lang w:eastAsia="ru-RU" w:bidi="ar-SA"/>
              </w:rPr>
              <w:t> </w:t>
            </w:r>
          </w:p>
        </w:tc>
        <w:tc>
          <w:tcPr>
            <w:tcW w:w="2196" w:type="dxa"/>
            <w:gridSpan w:val="2"/>
            <w:tcBorders/>
            <w:shd w:color="auto" w:fill="auto" w:val="clear"/>
            <w:vAlign w:val="bottom"/>
          </w:tcPr>
          <w:p>
            <w:pPr>
              <w:pStyle w:val="Normal"/>
              <w:widowControl w:val="false"/>
              <w:snapToGrid w:val="true"/>
              <w:ind w:hanging="0"/>
              <w:jc w:val="center"/>
              <w:rPr>
                <w:rFonts w:cs="Times New Roman"/>
                <w:sz w:val="16"/>
                <w:szCs w:val="16"/>
                <w:lang w:eastAsia="ru-RU" w:bidi="ar-SA"/>
              </w:rPr>
            </w:pPr>
            <w:r>
              <w:rPr>
                <w:rFonts w:cs="Times New Roman"/>
                <w:sz w:val="16"/>
                <w:szCs w:val="16"/>
                <w:lang w:eastAsia="ru-RU" w:bidi="ar-SA"/>
              </w:rPr>
            </w:r>
          </w:p>
        </w:tc>
      </w:tr>
      <w:tr>
        <w:trPr>
          <w:trHeight w:val="20" w:hRule="exact"/>
        </w:trPr>
        <w:tc>
          <w:tcPr>
            <w:tcW w:w="1253" w:type="dxa"/>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296" w:type="dxa"/>
            <w:gridSpan w:val="2"/>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76" w:type="dxa"/>
            <w:gridSpan w:val="2"/>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2766" w:type="dxa"/>
            <w:gridSpan w:val="2"/>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977"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80"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21"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65"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52"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023"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500"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676" w:type="dxa"/>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2196" w:type="dxa"/>
            <w:gridSpan w:val="2"/>
            <w:tcBorders/>
            <w:shd w:color="auto" w:fill="auto" w:val="clear"/>
            <w:vAlign w:val="bottom"/>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230" w:hRule="atLeast"/>
        </w:trPr>
        <w:tc>
          <w:tcPr>
            <w:tcW w:w="125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 xml:space="preserve">№ </w:t>
            </w:r>
            <w:r>
              <w:rPr>
                <w:rFonts w:cs="Times New Roman"/>
                <w:sz w:val="18"/>
                <w:szCs w:val="18"/>
                <w:lang w:eastAsia="ru-RU" w:bidi="ar-SA"/>
              </w:rPr>
              <w:t>п/п</w:t>
            </w:r>
          </w:p>
        </w:tc>
        <w:tc>
          <w:tcPr>
            <w:tcW w:w="129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Обоснование</w:t>
            </w:r>
          </w:p>
        </w:tc>
        <w:tc>
          <w:tcPr>
            <w:tcW w:w="4419" w:type="dxa"/>
            <w:gridSpan w:val="5"/>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Наименование работ и затрат</w:t>
            </w:r>
          </w:p>
        </w:tc>
        <w:tc>
          <w:tcPr>
            <w:tcW w:w="108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Единица измерения</w:t>
            </w:r>
          </w:p>
        </w:tc>
        <w:tc>
          <w:tcPr>
            <w:tcW w:w="2738" w:type="dxa"/>
            <w:gridSpan w:val="3"/>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Количество</w:t>
            </w:r>
          </w:p>
        </w:tc>
        <w:tc>
          <w:tcPr>
            <w:tcW w:w="2175" w:type="dxa"/>
            <w:gridSpan w:val="3"/>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Сметная стоимость в базисном уровне цен (в текущем уровне цен (гр. 8) для ресурсов, отсутствующих в СНБ), руб.</w:t>
            </w:r>
          </w:p>
        </w:tc>
        <w:tc>
          <w:tcPr>
            <w:tcW w:w="67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Индексы</w:t>
            </w:r>
          </w:p>
        </w:tc>
        <w:tc>
          <w:tcPr>
            <w:tcW w:w="219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Сметная стоимость в текущем уровне цен, руб.</w:t>
            </w:r>
          </w:p>
        </w:tc>
      </w:tr>
      <w:tr>
        <w:trPr>
          <w:trHeight w:val="230" w:hRule="atLeast"/>
        </w:trPr>
        <w:tc>
          <w:tcPr>
            <w:tcW w:w="12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1296"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4419" w:type="dxa"/>
            <w:gridSpan w:val="5"/>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108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2738"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2175"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67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2196"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r>
      <w:tr>
        <w:trPr>
          <w:trHeight w:val="20" w:hRule="atLeast"/>
        </w:trPr>
        <w:tc>
          <w:tcPr>
            <w:tcW w:w="12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1296"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4419" w:type="dxa"/>
            <w:gridSpan w:val="5"/>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108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652"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на единицу</w:t>
            </w:r>
          </w:p>
        </w:tc>
        <w:tc>
          <w:tcPr>
            <w:tcW w:w="1021"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коэффициенты</w:t>
            </w:r>
          </w:p>
        </w:tc>
        <w:tc>
          <w:tcPr>
            <w:tcW w:w="1065"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всего с учетом коэффициентов</w:t>
            </w:r>
          </w:p>
        </w:tc>
        <w:tc>
          <w:tcPr>
            <w:tcW w:w="652"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на единицу</w:t>
            </w:r>
          </w:p>
        </w:tc>
        <w:tc>
          <w:tcPr>
            <w:tcW w:w="1023"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коэффициенты</w:t>
            </w:r>
          </w:p>
        </w:tc>
        <w:tc>
          <w:tcPr>
            <w:tcW w:w="500"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18"/>
                <w:szCs w:val="18"/>
                <w:lang w:eastAsia="ru-RU" w:bidi="ar-SA"/>
              </w:rPr>
            </w:pPr>
            <w:r>
              <w:rPr>
                <w:rFonts w:cs="Times New Roman"/>
                <w:sz w:val="18"/>
                <w:szCs w:val="18"/>
                <w:lang w:eastAsia="ru-RU" w:bidi="ar-SA"/>
              </w:rPr>
              <w:t>всего</w:t>
            </w:r>
          </w:p>
        </w:tc>
        <w:tc>
          <w:tcPr>
            <w:tcW w:w="67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c>
          <w:tcPr>
            <w:tcW w:w="2196"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true"/>
              <w:ind w:hanging="0"/>
              <w:jc w:val="left"/>
              <w:rPr>
                <w:rFonts w:cs="Times New Roman"/>
                <w:sz w:val="20"/>
                <w:szCs w:val="20"/>
                <w:lang w:eastAsia="ru-RU" w:bidi="ar-SA"/>
              </w:rPr>
            </w:pPr>
            <w:r>
              <w:rPr>
                <w:rFonts w:cs="Times New Roman"/>
                <w:sz w:val="20"/>
                <w:szCs w:val="20"/>
                <w:lang w:eastAsia="ru-RU" w:bidi="ar-SA"/>
              </w:rPr>
            </w:r>
          </w:p>
        </w:tc>
      </w:tr>
      <w:tr>
        <w:trPr>
          <w:trHeight w:val="20" w:hRule="atLeast"/>
        </w:trPr>
        <w:tc>
          <w:tcPr>
            <w:tcW w:w="1253"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1</w:t>
            </w:r>
          </w:p>
        </w:tc>
        <w:tc>
          <w:tcPr>
            <w:tcW w:w="1296" w:type="dxa"/>
            <w:gridSpan w:val="2"/>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2</w:t>
            </w:r>
          </w:p>
        </w:tc>
        <w:tc>
          <w:tcPr>
            <w:tcW w:w="44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3</w:t>
            </w:r>
          </w:p>
        </w:tc>
        <w:tc>
          <w:tcPr>
            <w:tcW w:w="1080"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4</w:t>
            </w:r>
          </w:p>
        </w:tc>
        <w:tc>
          <w:tcPr>
            <w:tcW w:w="652"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5</w:t>
            </w:r>
          </w:p>
        </w:tc>
        <w:tc>
          <w:tcPr>
            <w:tcW w:w="1021"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6</w:t>
            </w:r>
          </w:p>
        </w:tc>
        <w:tc>
          <w:tcPr>
            <w:tcW w:w="1065"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7</w:t>
            </w:r>
          </w:p>
        </w:tc>
        <w:tc>
          <w:tcPr>
            <w:tcW w:w="652"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8</w:t>
            </w:r>
          </w:p>
        </w:tc>
        <w:tc>
          <w:tcPr>
            <w:tcW w:w="1023"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9</w:t>
            </w:r>
          </w:p>
        </w:tc>
        <w:tc>
          <w:tcPr>
            <w:tcW w:w="500"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10</w:t>
            </w:r>
          </w:p>
        </w:tc>
        <w:tc>
          <w:tcPr>
            <w:tcW w:w="676"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11</w:t>
            </w:r>
          </w:p>
        </w:tc>
        <w:tc>
          <w:tcPr>
            <w:tcW w:w="2196" w:type="dxa"/>
            <w:gridSpan w:val="2"/>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 w:val="20"/>
                <w:szCs w:val="20"/>
                <w:lang w:eastAsia="ru-RU" w:bidi="ar-SA"/>
              </w:rPr>
            </w:pPr>
            <w:r>
              <w:rPr>
                <w:rFonts w:cs="Times New Roman"/>
                <w:sz w:val="20"/>
                <w:szCs w:val="20"/>
                <w:lang w:eastAsia="ru-RU" w:bidi="ar-SA"/>
              </w:rPr>
              <w:t>12</w:t>
            </w:r>
          </w:p>
        </w:tc>
      </w:tr>
    </w:tbl>
    <w:p>
      <w:pPr>
        <w:sectPr>
          <w:footerReference w:type="default" r:id="rId5"/>
          <w:footerReference w:type="first" r:id="rId6"/>
          <w:footnotePr>
            <w:numFmt w:val="decimal"/>
            <w:numRestart w:val="eachPage"/>
          </w:footnotePr>
          <w:type w:val="nextPage"/>
          <w:pgSz w:orient="landscape" w:w="16838" w:h="11906"/>
          <w:pgMar w:left="720" w:right="284" w:gutter="0" w:header="0" w:top="425" w:footer="709" w:bottom="924"/>
          <w:pgNumType w:fmt="decimal"/>
          <w:formProt w:val="false"/>
          <w:textDirection w:val="lrTb"/>
          <w:docGrid w:type="default" w:linePitch="360" w:charSpace="0"/>
        </w:sectPr>
      </w:pPr>
    </w:p>
    <w:p>
      <w:pPr>
        <w:pStyle w:val="Normal"/>
        <w:widowControl/>
        <w:snapToGrid w:val="true"/>
        <w:ind w:left="5811" w:hanging="0"/>
        <w:jc w:val="right"/>
        <w:rPr>
          <w:rFonts w:cs="Times New Roman"/>
          <w:sz w:val="20"/>
          <w:szCs w:val="20"/>
          <w:lang w:eastAsia="ru-RU" w:bidi="ar-SA"/>
        </w:rPr>
      </w:pPr>
      <w:r>
        <w:rPr>
          <w:rFonts w:cs="Times New Roman"/>
          <w:sz w:val="20"/>
          <w:szCs w:val="20"/>
          <w:lang w:eastAsia="ru-RU" w:bidi="ar-SA"/>
        </w:rPr>
      </w:r>
    </w:p>
    <w:p>
      <w:pPr>
        <w:pStyle w:val="Normal"/>
        <w:widowControl/>
        <w:snapToGrid w:val="true"/>
        <w:ind w:left="5811" w:hanging="0"/>
        <w:jc w:val="right"/>
        <w:rPr>
          <w:rFonts w:cs="Times New Roman"/>
          <w:color w:val="auto"/>
          <w:sz w:val="20"/>
          <w:szCs w:val="20"/>
          <w:lang w:eastAsia="ru-RU" w:bidi="ar-SA"/>
        </w:rPr>
      </w:pPr>
      <w:r>
        <w:rPr>
          <w:rFonts w:cs="Times New Roman"/>
          <w:color w:val="auto"/>
          <w:sz w:val="20"/>
          <w:szCs w:val="20"/>
          <w:lang w:eastAsia="ru-RU" w:bidi="ar-SA"/>
        </w:rPr>
        <w:t>Приложение № 2</w:t>
      </w:r>
    </w:p>
    <w:p>
      <w:pPr>
        <w:pStyle w:val="Normal"/>
        <w:widowControl/>
        <w:snapToGrid w:val="true"/>
        <w:ind w:left="5811" w:hanging="0"/>
        <w:jc w:val="right"/>
        <w:rPr>
          <w:rFonts w:cs="Times New Roman"/>
          <w:color w:val="auto"/>
          <w:sz w:val="20"/>
          <w:szCs w:val="20"/>
          <w:lang w:eastAsia="ru-RU" w:bidi="ar-SA"/>
        </w:rPr>
      </w:pPr>
      <w:r>
        <w:rPr>
          <w:rFonts w:cs="Times New Roman"/>
          <w:color w:val="auto"/>
          <w:sz w:val="20"/>
          <w:szCs w:val="20"/>
          <w:lang w:eastAsia="ru-RU" w:bidi="ar-SA"/>
        </w:rPr>
        <w:t xml:space="preserve">к Требованиям к оформлению и </w:t>
      </w:r>
    </w:p>
    <w:p>
      <w:pPr>
        <w:pStyle w:val="Normal"/>
        <w:widowControl/>
        <w:snapToGrid w:val="true"/>
        <w:ind w:left="5811" w:firstLine="857"/>
        <w:jc w:val="right"/>
        <w:rPr>
          <w:rFonts w:cs="Times New Roman"/>
          <w:sz w:val="20"/>
          <w:szCs w:val="20"/>
          <w:lang w:eastAsia="ru-RU" w:bidi="ar-SA"/>
        </w:rPr>
      </w:pPr>
      <w:r>
        <w:rPr>
          <w:rFonts w:cs="Times New Roman"/>
          <w:color w:val="auto"/>
          <w:sz w:val="20"/>
          <w:szCs w:val="20"/>
          <w:lang w:eastAsia="ru-RU" w:bidi="ar-SA"/>
        </w:rPr>
        <w:t xml:space="preserve">составлению сметной документации </w:t>
      </w:r>
      <w:r>
        <w:rPr>
          <w:rFonts w:cs="Times New Roman"/>
          <w:sz w:val="20"/>
          <w:szCs w:val="20"/>
          <w:lang w:eastAsia="ru-RU" w:bidi="ar-SA"/>
        </w:rPr>
        <w:t>по ценообразованию</w:t>
      </w:r>
    </w:p>
    <w:p>
      <w:pPr>
        <w:pStyle w:val="Normal"/>
        <w:widowControl/>
        <w:snapToGrid w:val="true"/>
        <w:ind w:hanging="0"/>
        <w:jc w:val="right"/>
        <w:rPr>
          <w:rFonts w:cs="Times New Roman"/>
          <w:b/>
          <w:color w:val="auto"/>
          <w:szCs w:val="24"/>
          <w:lang w:eastAsia="ru-RU" w:bidi="ar-SA"/>
        </w:rPr>
      </w:pPr>
      <w:r>
        <w:rPr>
          <w:rFonts w:cs="Times New Roman"/>
          <w:b/>
          <w:color w:val="auto"/>
          <w:szCs w:val="24"/>
          <w:lang w:eastAsia="ru-RU" w:bidi="ar-SA"/>
        </w:rPr>
      </w:r>
    </w:p>
    <w:p>
      <w:pPr>
        <w:pStyle w:val="Normal"/>
        <w:widowControl/>
        <w:snapToGrid w:val="true"/>
        <w:ind w:hanging="0"/>
        <w:jc w:val="right"/>
        <w:rPr>
          <w:rFonts w:cs="Times New Roman"/>
          <w:b/>
          <w:color w:val="auto"/>
          <w:szCs w:val="24"/>
          <w:lang w:eastAsia="ru-RU" w:bidi="ar-SA"/>
        </w:rPr>
      </w:pPr>
      <w:r>
        <w:rPr>
          <w:rFonts w:cs="Times New Roman"/>
          <w:b/>
          <w:color w:val="auto"/>
          <w:szCs w:val="24"/>
          <w:lang w:eastAsia="ru-RU" w:bidi="ar-SA"/>
        </w:rPr>
      </w:r>
    </w:p>
    <w:p>
      <w:pPr>
        <w:pStyle w:val="Normal"/>
        <w:widowControl/>
        <w:snapToGrid w:val="true"/>
        <w:ind w:hanging="0"/>
        <w:jc w:val="center"/>
        <w:rPr>
          <w:rFonts w:cs="Times New Roman"/>
          <w:b/>
          <w:color w:val="auto"/>
          <w:szCs w:val="24"/>
          <w:lang w:eastAsia="ru-RU" w:bidi="ar-SA"/>
        </w:rPr>
      </w:pPr>
      <w:r>
        <w:rPr>
          <w:rFonts w:cs="Times New Roman"/>
          <w:b/>
          <w:color w:val="auto"/>
          <w:szCs w:val="24"/>
          <w:lang w:eastAsia="ru-RU" w:bidi="ar-SA"/>
        </w:rPr>
        <w:t xml:space="preserve">ПОЯСНИТЕЛЬНАЯ ЗАПИСКА </w:t>
      </w:r>
    </w:p>
    <w:p>
      <w:pPr>
        <w:pStyle w:val="Normal"/>
        <w:widowControl/>
        <w:snapToGrid w:val="true"/>
        <w:ind w:hanging="0"/>
        <w:jc w:val="center"/>
        <w:rPr>
          <w:rFonts w:cs="Times New Roman"/>
          <w:b/>
          <w:color w:val="auto"/>
          <w:szCs w:val="24"/>
          <w:lang w:eastAsia="ru-RU" w:bidi="ar-SA"/>
        </w:rPr>
      </w:pPr>
      <w:r>
        <w:rPr>
          <w:rFonts w:cs="Times New Roman"/>
          <w:b/>
          <w:color w:val="auto"/>
          <w:szCs w:val="24"/>
          <w:lang w:eastAsia="ru-RU" w:bidi="ar-SA"/>
        </w:rPr>
        <w:t>по заполнению формы №3п</w:t>
      </w:r>
    </w:p>
    <w:p>
      <w:pPr>
        <w:pStyle w:val="Normal"/>
        <w:widowControl/>
        <w:snapToGrid w:val="true"/>
        <w:ind w:hanging="0"/>
        <w:jc w:val="center"/>
        <w:rPr>
          <w:rFonts w:cs="Times New Roman"/>
          <w:b/>
          <w:color w:val="auto"/>
          <w:szCs w:val="24"/>
          <w:lang w:eastAsia="ru-RU" w:bidi="ar-SA"/>
        </w:rPr>
      </w:pPr>
      <w:r>
        <w:rPr>
          <w:rFonts w:cs="Times New Roman"/>
          <w:b/>
          <w:color w:val="auto"/>
          <w:szCs w:val="24"/>
          <w:lang w:eastAsia="ru-RU" w:bidi="ar-SA"/>
        </w:rPr>
        <w:t xml:space="preserve"> </w:t>
      </w:r>
      <w:r>
        <w:rPr>
          <w:rFonts w:cs="Times New Roman"/>
          <w:b/>
          <w:color w:val="auto"/>
          <w:szCs w:val="24"/>
          <w:lang w:eastAsia="ru-RU" w:bidi="ar-SA"/>
        </w:rPr>
        <w:t xml:space="preserve">при составлении смет на шеф-монтажные, шеф-наладочные работы </w:t>
      </w:r>
    </w:p>
    <w:p>
      <w:pPr>
        <w:pStyle w:val="Normal"/>
        <w:widowControl/>
        <w:tabs>
          <w:tab w:val="clear" w:pos="708"/>
          <w:tab w:val="left" w:pos="1080" w:leader="none"/>
        </w:tabs>
        <w:snapToGrid w:val="true"/>
        <w:ind w:firstLine="540"/>
        <w:rPr>
          <w:rFonts w:cs="Times New Roman"/>
          <w:color w:val="auto"/>
          <w:szCs w:val="24"/>
          <w:lang w:eastAsia="ru-RU" w:bidi="ar-SA"/>
        </w:rPr>
      </w:pPr>
      <w:r>
        <w:rPr>
          <w:rFonts w:cs="Times New Roman"/>
          <w:color w:val="auto"/>
          <w:szCs w:val="24"/>
          <w:lang w:eastAsia="ru-RU" w:bidi="ar-SA"/>
        </w:rPr>
      </w:r>
    </w:p>
    <w:p>
      <w:pPr>
        <w:pStyle w:val="Normal"/>
        <w:widowControl/>
        <w:numPr>
          <w:ilvl w:val="0"/>
          <w:numId w:val="5"/>
        </w:numPr>
        <w:tabs>
          <w:tab w:val="clear" w:pos="708"/>
          <w:tab w:val="left" w:pos="1276"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При составлении сметного расчета по трудозатратам (форма №3п), обоснование расчета трудозатрат представляется заказчику по его просьбе. Сметные расчеты составляются в ценах текущего периода.</w:t>
      </w:r>
    </w:p>
    <w:p>
      <w:pPr>
        <w:pStyle w:val="Normal"/>
        <w:widowControl/>
        <w:numPr>
          <w:ilvl w:val="0"/>
          <w:numId w:val="5"/>
        </w:numPr>
        <w:tabs>
          <w:tab w:val="clear" w:pos="708"/>
          <w:tab w:val="left" w:pos="1080" w:leader="none"/>
          <w:tab w:val="left" w:pos="1276"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Расчетом по трудозатратам (форма №3п) рекомендуется определять стоимость работ, цены на которые отсутствуют в СБЦ и СЦ, внесенных в ФРСН.</w:t>
      </w:r>
    </w:p>
    <w:p>
      <w:pPr>
        <w:pStyle w:val="Normal"/>
        <w:widowControl/>
        <w:numPr>
          <w:ilvl w:val="0"/>
          <w:numId w:val="5"/>
        </w:numPr>
        <w:tabs>
          <w:tab w:val="clear" w:pos="708"/>
          <w:tab w:val="left" w:pos="1080" w:leader="none"/>
          <w:tab w:val="left" w:pos="1276"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Форма сметы для определения затрат по себестоимости и уровню рентабельности (форма №3п) приведена в образце 3П Приложения 2.1.</w:t>
      </w:r>
    </w:p>
    <w:p>
      <w:pPr>
        <w:pStyle w:val="Normal"/>
        <w:widowControl/>
        <w:numPr>
          <w:ilvl w:val="0"/>
          <w:numId w:val="5"/>
        </w:numPr>
        <w:tabs>
          <w:tab w:val="clear" w:pos="708"/>
          <w:tab w:val="left" w:pos="1080" w:leader="none"/>
          <w:tab w:val="left" w:pos="1276" w:leader="none"/>
        </w:tabs>
        <w:snapToGrid w:val="true"/>
        <w:spacing w:before="0" w:after="0"/>
        <w:ind w:left="0" w:firstLine="709"/>
        <w:contextualSpacing/>
        <w:rPr>
          <w:rFonts w:eastAsia="Calibri" w:cs="Times New Roman"/>
          <w:color w:val="auto"/>
          <w:szCs w:val="24"/>
          <w:lang w:bidi="ar-SA"/>
        </w:rPr>
      </w:pPr>
      <w:r>
        <w:rPr>
          <w:rFonts w:cs="Times New Roman"/>
          <w:color w:val="auto"/>
          <w:szCs w:val="24"/>
          <w:lang w:eastAsia="ru-RU" w:bidi="ar-SA"/>
        </w:rPr>
        <w:t xml:space="preserve">Результаты вычислений и итоговые данные по разделам расчета </w:t>
      </w:r>
      <w:r>
        <w:rPr>
          <w:rFonts w:cs="Times New Roman"/>
          <w:color w:val="auto"/>
          <w:szCs w:val="24"/>
          <w:u w:val="single"/>
          <w:lang w:eastAsia="ru-RU" w:bidi="ar-SA"/>
        </w:rPr>
        <w:t>округлять до целых рублей.</w:t>
      </w:r>
    </w:p>
    <w:p>
      <w:pPr>
        <w:pStyle w:val="Normal"/>
        <w:widowControl/>
        <w:numPr>
          <w:ilvl w:val="0"/>
          <w:numId w:val="5"/>
        </w:numPr>
        <w:tabs>
          <w:tab w:val="clear" w:pos="708"/>
          <w:tab w:val="left" w:pos="1080" w:leader="none"/>
          <w:tab w:val="left" w:pos="1276"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Особенности заполнения формы 3п.</w:t>
      </w:r>
    </w:p>
    <w:p>
      <w:pPr>
        <w:pStyle w:val="Normal"/>
        <w:widowControl/>
        <w:tabs>
          <w:tab w:val="clear" w:pos="708"/>
          <w:tab w:val="left" w:pos="993" w:leader="none"/>
        </w:tabs>
        <w:snapToGrid w:val="true"/>
        <w:ind w:firstLine="709"/>
        <w:rPr>
          <w:rFonts w:cs="Times New Roman"/>
          <w:color w:val="auto"/>
          <w:szCs w:val="24"/>
          <w:u w:val="single"/>
          <w:lang w:eastAsia="ru-RU" w:bidi="ar-SA"/>
        </w:rPr>
      </w:pPr>
      <w:r>
        <w:rPr>
          <w:rFonts w:cs="Times New Roman"/>
          <w:color w:val="auto"/>
          <w:szCs w:val="24"/>
          <w:u w:val="single"/>
          <w:lang w:eastAsia="ru-RU" w:bidi="ar-SA"/>
        </w:rPr>
        <w:t>Раздел 1. Расчет заработной платы:</w:t>
      </w:r>
    </w:p>
    <w:p>
      <w:pPr>
        <w:pStyle w:val="Normal"/>
        <w:widowControl/>
        <w:numPr>
          <w:ilvl w:val="0"/>
          <w:numId w:val="4"/>
        </w:numPr>
        <w:tabs>
          <w:tab w:val="clear" w:pos="708"/>
          <w:tab w:val="left" w:pos="993" w:leader="none"/>
          <w:tab w:val="left" w:pos="1080" w:leader="none"/>
          <w:tab w:val="left" w:pos="1985"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графе 1 приводится нумерация выполняемых работ;</w:t>
      </w:r>
    </w:p>
    <w:p>
      <w:pPr>
        <w:pStyle w:val="Normal"/>
        <w:widowControl/>
        <w:numPr>
          <w:ilvl w:val="0"/>
          <w:numId w:val="4"/>
        </w:numPr>
        <w:tabs>
          <w:tab w:val="clear" w:pos="708"/>
          <w:tab w:val="left" w:pos="993" w:leader="none"/>
          <w:tab w:val="left" w:pos="1080" w:leader="none"/>
          <w:tab w:val="left" w:pos="1985"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графе 2 приводится наименование выполняемых работ;</w:t>
      </w:r>
    </w:p>
    <w:p>
      <w:pPr>
        <w:pStyle w:val="Normal"/>
        <w:widowControl/>
        <w:numPr>
          <w:ilvl w:val="0"/>
          <w:numId w:val="4"/>
        </w:numPr>
        <w:tabs>
          <w:tab w:val="clear" w:pos="708"/>
          <w:tab w:val="left" w:pos="993" w:leader="none"/>
          <w:tab w:val="left" w:pos="1080" w:leader="none"/>
          <w:tab w:val="left" w:pos="1985"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графе 3 указывается количество привлекаемых работников;</w:t>
      </w:r>
    </w:p>
    <w:p>
      <w:pPr>
        <w:pStyle w:val="Normal"/>
        <w:widowControl/>
        <w:numPr>
          <w:ilvl w:val="0"/>
          <w:numId w:val="4"/>
        </w:numPr>
        <w:tabs>
          <w:tab w:val="clear" w:pos="708"/>
          <w:tab w:val="left" w:pos="993" w:leader="none"/>
          <w:tab w:val="left" w:pos="1080" w:leader="none"/>
          <w:tab w:val="left" w:pos="1985"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графе 4 указывается наименование должности (при необходимости с указанием конкретных фамилий) работников, участвующих в выполнении каждой из приведенных работ в графе 2 работ;</w:t>
      </w:r>
    </w:p>
    <w:p>
      <w:pPr>
        <w:pStyle w:val="Normal"/>
        <w:widowControl/>
        <w:numPr>
          <w:ilvl w:val="0"/>
          <w:numId w:val="4"/>
        </w:numPr>
        <w:tabs>
          <w:tab w:val="clear" w:pos="708"/>
          <w:tab w:val="left" w:pos="993" w:leader="none"/>
          <w:tab w:val="left" w:pos="1080" w:leader="none"/>
          <w:tab w:val="left" w:pos="1985"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графе 5 для каждой должностной группы (при необходимости с указанием конкретных фамилий) работников, участвующих в выполнении данной работы, указывается общее количество рабочих дней, необходимых данной квалификационной группе для её выполнения; рабочее время не должно превышать значений, определенных по нормативным временным нормам;</w:t>
      </w:r>
    </w:p>
    <w:p>
      <w:pPr>
        <w:pStyle w:val="Normal"/>
        <w:widowControl/>
        <w:numPr>
          <w:ilvl w:val="0"/>
          <w:numId w:val="4"/>
        </w:numPr>
        <w:tabs>
          <w:tab w:val="clear" w:pos="708"/>
          <w:tab w:val="left" w:pos="993" w:leader="none"/>
          <w:tab w:val="left" w:pos="1080" w:leader="none"/>
          <w:tab w:val="left" w:pos="1985"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графе 6 приводятся данные по стоимости 1 человеко-дня в рублях по категориям работников. Стоимость 1 человеко-дня непосредственных исполнителей приводится по штатному расписанию основного производственного персонала исходя из установленных в нем окладов, а также выплат стимулирующего и компенсирующего характера, установленных Положением о премировании работников предприятия.</w:t>
      </w:r>
    </w:p>
    <w:p>
      <w:pPr>
        <w:pStyle w:val="Normal"/>
        <w:widowControl/>
        <w:numPr>
          <w:ilvl w:val="0"/>
          <w:numId w:val="4"/>
        </w:numPr>
        <w:tabs>
          <w:tab w:val="clear" w:pos="708"/>
          <w:tab w:val="left" w:pos="993" w:leader="none"/>
          <w:tab w:val="left" w:pos="1080" w:leader="none"/>
          <w:tab w:val="left" w:pos="1985"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графе 7 указывается заработная плата в рублях (</w:t>
      </w:r>
      <w:r>
        <w:rPr>
          <w:rFonts w:eastAsia="Calibri" w:cs="Times New Roman"/>
          <w:b/>
          <w:color w:val="auto"/>
          <w:szCs w:val="24"/>
          <w:u w:val="single"/>
          <w:lang w:bidi="ar-SA"/>
        </w:rPr>
        <w:t>результат перемножения граф 5 и 6</w:t>
      </w:r>
      <w:r>
        <w:rPr>
          <w:rFonts w:eastAsia="Calibri" w:cs="Times New Roman"/>
          <w:color w:val="auto"/>
          <w:szCs w:val="24"/>
          <w:lang w:bidi="ar-SA"/>
        </w:rPr>
        <w:t>);</w:t>
      </w:r>
    </w:p>
    <w:p>
      <w:pPr>
        <w:pStyle w:val="Normal"/>
        <w:widowControl/>
        <w:tabs>
          <w:tab w:val="clear" w:pos="708"/>
          <w:tab w:val="left" w:pos="993" w:leader="none"/>
          <w:tab w:val="left" w:pos="1080" w:leader="none"/>
        </w:tabs>
        <w:snapToGrid w:val="true"/>
        <w:spacing w:before="0" w:after="0"/>
        <w:ind w:firstLine="709"/>
        <w:contextualSpacing/>
        <w:rPr>
          <w:rFonts w:eastAsia="Calibri" w:cs="Times New Roman"/>
          <w:color w:val="auto"/>
          <w:szCs w:val="24"/>
          <w:lang w:bidi="ar-SA"/>
        </w:rPr>
      </w:pPr>
      <w:r>
        <w:rPr>
          <w:rFonts w:eastAsia="Calibri" w:cs="Times New Roman"/>
          <w:color w:val="auto"/>
          <w:szCs w:val="24"/>
          <w:lang w:bidi="ar-SA"/>
        </w:rPr>
        <w:t>Данные по количеству человек, дней и категорий непосредственных исполнителей, приведенные в графах 3, 4, 5, указываются в соответствии с экспертной оценкой трудоемкости этих работ или на базе имеющихся в организации проработок, определяющих нормативы их трудоемкости.</w:t>
      </w:r>
    </w:p>
    <w:p>
      <w:pPr>
        <w:pStyle w:val="Normal"/>
        <w:widowControl/>
        <w:tabs>
          <w:tab w:val="clear" w:pos="708"/>
          <w:tab w:val="left" w:pos="993" w:leader="none"/>
          <w:tab w:val="left" w:pos="1080" w:leader="none"/>
        </w:tabs>
        <w:snapToGrid w:val="true"/>
        <w:ind w:firstLine="709"/>
        <w:rPr>
          <w:rFonts w:cs="Times New Roman"/>
          <w:color w:val="auto"/>
          <w:szCs w:val="24"/>
          <w:u w:val="single"/>
          <w:lang w:eastAsia="ru-RU" w:bidi="ar-SA"/>
        </w:rPr>
      </w:pPr>
      <w:r>
        <w:rPr>
          <w:rFonts w:cs="Times New Roman"/>
          <w:color w:val="auto"/>
          <w:szCs w:val="24"/>
          <w:u w:val="single"/>
          <w:lang w:eastAsia="ru-RU" w:bidi="ar-SA"/>
        </w:rPr>
        <w:t>Раздел 2. Расчет стоимости выполнения работ</w:t>
      </w:r>
    </w:p>
    <w:p>
      <w:pPr>
        <w:pStyle w:val="Normal"/>
        <w:widowControl/>
        <w:numPr>
          <w:ilvl w:val="0"/>
          <w:numId w:val="4"/>
        </w:numPr>
        <w:tabs>
          <w:tab w:val="clear" w:pos="708"/>
          <w:tab w:val="left" w:pos="993" w:leader="none"/>
          <w:tab w:val="left" w:pos="1080"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пункте 2.1 указываются накладные расходы. Данные по оплате труда, накладным расходам,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w:t>
      </w:r>
    </w:p>
    <w:p>
      <w:pPr>
        <w:pStyle w:val="Normal"/>
        <w:widowControl/>
        <w:numPr>
          <w:ilvl w:val="0"/>
          <w:numId w:val="4"/>
        </w:numPr>
        <w:tabs>
          <w:tab w:val="clear" w:pos="708"/>
          <w:tab w:val="left" w:pos="993" w:leader="none"/>
          <w:tab w:val="left" w:pos="1080"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пункте 2.2 производится расчет себестоимости работ на основании выполненного в разделе 1 расчета заработной платы и накладных расходов (сложение итога графы 7 раздела 1 и пункта 2.1);</w:t>
      </w:r>
    </w:p>
    <w:p>
      <w:pPr>
        <w:pStyle w:val="Normal"/>
        <w:widowControl/>
        <w:numPr>
          <w:ilvl w:val="0"/>
          <w:numId w:val="4"/>
        </w:numPr>
        <w:tabs>
          <w:tab w:val="clear" w:pos="708"/>
          <w:tab w:val="left" w:pos="993" w:leader="none"/>
          <w:tab w:val="left" w:pos="1080"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в пункте 2.3 указывается уровень рентабельности (размер сметной прибыли), принимается по данным организации в соответствии с финансовым планом;</w:t>
      </w:r>
    </w:p>
    <w:p>
      <w:pPr>
        <w:pStyle w:val="Normal"/>
        <w:widowControl/>
        <w:numPr>
          <w:ilvl w:val="0"/>
          <w:numId w:val="4"/>
        </w:numPr>
        <w:tabs>
          <w:tab w:val="clear" w:pos="708"/>
          <w:tab w:val="left" w:pos="993" w:leader="none"/>
          <w:tab w:val="left" w:pos="1080"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уровень рентабельности по отношению к себестоимости может составлять до 15%.</w:t>
      </w:r>
    </w:p>
    <w:p>
      <w:pPr>
        <w:pStyle w:val="Normal"/>
        <w:widowControl/>
        <w:tabs>
          <w:tab w:val="clear" w:pos="708"/>
          <w:tab w:val="left" w:pos="993" w:leader="none"/>
          <w:tab w:val="left" w:pos="1080" w:leader="none"/>
        </w:tabs>
        <w:snapToGrid w:val="true"/>
        <w:ind w:firstLine="709"/>
        <w:rPr>
          <w:rFonts w:cs="Times New Roman"/>
          <w:color w:val="auto"/>
          <w:szCs w:val="24"/>
          <w:lang w:eastAsia="ru-RU" w:bidi="ar-SA"/>
        </w:rPr>
      </w:pPr>
      <w:r>
        <w:rPr>
          <w:rFonts w:cs="Times New Roman"/>
          <w:color w:val="auto"/>
          <w:szCs w:val="24"/>
          <w:lang w:eastAsia="ru-RU" w:bidi="ar-SA"/>
        </w:rPr>
        <w:t>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(образец в Приложении №1 к пояснительной записке по заполнению формы 3П).</w:t>
      </w:r>
    </w:p>
    <w:p>
      <w:pPr>
        <w:pStyle w:val="Normal"/>
        <w:widowControl/>
        <w:tabs>
          <w:tab w:val="clear" w:pos="708"/>
          <w:tab w:val="left" w:pos="993" w:leader="none"/>
          <w:tab w:val="left" w:pos="1080" w:leader="none"/>
        </w:tabs>
        <w:snapToGrid w:val="true"/>
        <w:ind w:firstLine="709"/>
        <w:rPr>
          <w:rFonts w:cs="Times New Roman"/>
          <w:color w:val="auto"/>
          <w:szCs w:val="24"/>
          <w:u w:val="single"/>
          <w:lang w:eastAsia="ru-RU" w:bidi="ar-SA"/>
        </w:rPr>
      </w:pPr>
      <w:r>
        <w:rPr>
          <w:rFonts w:cs="Times New Roman"/>
          <w:color w:val="auto"/>
          <w:szCs w:val="24"/>
          <w:u w:val="single"/>
          <w:lang w:eastAsia="ru-RU" w:bidi="ar-SA"/>
        </w:rPr>
        <w:t>Раздел 3. Расчет командировочных расходов.</w:t>
      </w:r>
    </w:p>
    <w:p>
      <w:pPr>
        <w:pStyle w:val="Normal"/>
        <w:widowControl/>
        <w:tabs>
          <w:tab w:val="clear" w:pos="708"/>
          <w:tab w:val="left" w:pos="993" w:leader="none"/>
        </w:tabs>
        <w:snapToGrid w:val="true"/>
        <w:ind w:firstLine="709"/>
        <w:rPr>
          <w:rFonts w:cs="Times New Roman"/>
          <w:color w:val="auto"/>
          <w:szCs w:val="24"/>
          <w:lang w:eastAsia="ru-RU" w:bidi="ar-SA"/>
        </w:rPr>
      </w:pPr>
      <w:r>
        <w:rPr>
          <w:rFonts w:cs="Times New Roman"/>
          <w:color w:val="auto"/>
          <w:szCs w:val="24"/>
          <w:lang w:eastAsia="ru-RU" w:bidi="ar-SA"/>
        </w:rPr>
        <w:t xml:space="preserve">Командировочные расходы включаются в сметный расчет отдельной строкой (пункт 3 формы 3П) по отдельно выполненному расчету (приложение № 2) с расшифровкой затрат на проезд, проживание, суточные расходы. </w:t>
      </w:r>
    </w:p>
    <w:p>
      <w:pPr>
        <w:pStyle w:val="Normal"/>
        <w:widowControl/>
        <w:tabs>
          <w:tab w:val="clear" w:pos="708"/>
          <w:tab w:val="left" w:pos="993" w:leader="none"/>
        </w:tabs>
        <w:snapToGrid w:val="true"/>
        <w:ind w:firstLine="709"/>
        <w:rPr>
          <w:rFonts w:cs="Times New Roman"/>
          <w:color w:val="auto"/>
          <w:szCs w:val="24"/>
          <w:lang w:eastAsia="ru-RU" w:bidi="ar-SA"/>
        </w:rPr>
      </w:pPr>
      <w:r>
        <w:rPr>
          <w:rFonts w:cs="Times New Roman"/>
          <w:color w:val="auto"/>
          <w:szCs w:val="24"/>
          <w:lang w:eastAsia="ru-RU" w:bidi="ar-SA"/>
        </w:rPr>
        <w:t>Стоимость проезда необходимо указать по каждому виду транспорта отдельно туда и отдельно обратно.</w:t>
      </w:r>
    </w:p>
    <w:p>
      <w:pPr>
        <w:pStyle w:val="Normal"/>
        <w:widowControl/>
        <w:tabs>
          <w:tab w:val="clear" w:pos="708"/>
          <w:tab w:val="left" w:pos="993" w:leader="none"/>
        </w:tabs>
        <w:snapToGrid w:val="true"/>
        <w:ind w:firstLine="709"/>
        <w:rPr>
          <w:rFonts w:cs="Times New Roman"/>
          <w:color w:val="auto"/>
          <w:szCs w:val="24"/>
          <w:lang w:eastAsia="ru-RU" w:bidi="ar-SA"/>
        </w:rPr>
      </w:pPr>
      <w:r>
        <w:rPr>
          <w:rFonts w:cs="Times New Roman"/>
          <w:color w:val="auto"/>
          <w:szCs w:val="24"/>
          <w:lang w:eastAsia="ru-RU" w:bidi="ar-SA"/>
        </w:rPr>
        <w:t>Размер расходов на проезд и стоимость проживания в гостинице определяется на момент составления расчета.</w:t>
      </w:r>
    </w:p>
    <w:p>
      <w:pPr>
        <w:pStyle w:val="Normal"/>
        <w:widowControl/>
        <w:tabs>
          <w:tab w:val="clear" w:pos="708"/>
          <w:tab w:val="left" w:pos="993" w:leader="none"/>
          <w:tab w:val="left" w:pos="1080" w:leader="none"/>
        </w:tabs>
        <w:snapToGrid w:val="true"/>
        <w:ind w:firstLine="709"/>
        <w:rPr>
          <w:rFonts w:cs="Times New Roman"/>
          <w:color w:val="auto"/>
          <w:szCs w:val="24"/>
          <w:lang w:eastAsia="ru-RU" w:bidi="ar-SA"/>
        </w:rPr>
      </w:pPr>
      <w:r>
        <w:rPr>
          <w:rFonts w:cs="Times New Roman"/>
          <w:color w:val="auto"/>
          <w:szCs w:val="24"/>
          <w:lang w:eastAsia="ru-RU" w:bidi="ar-SA"/>
        </w:rPr>
        <w:t>Размеры возмещения расходов, связанных со служебными командировками, определяются коллективным договором и/или локальным нормативным актом организации–исполнителя, но не выше нормативов возмещения расходов, связанных со служебными командировками, установленных локальным нормативным актом организации–заказчика.</w:t>
      </w:r>
    </w:p>
    <w:p>
      <w:pPr>
        <w:pStyle w:val="Normal"/>
        <w:widowControl/>
        <w:tabs>
          <w:tab w:val="clear" w:pos="708"/>
          <w:tab w:val="left" w:pos="993" w:leader="none"/>
          <w:tab w:val="left" w:pos="1080" w:leader="none"/>
        </w:tabs>
        <w:snapToGrid w:val="true"/>
        <w:ind w:firstLine="709"/>
        <w:rPr>
          <w:rFonts w:cs="Times New Roman"/>
          <w:color w:val="auto"/>
          <w:szCs w:val="24"/>
          <w:lang w:eastAsia="ru-RU" w:bidi="ar-SA"/>
        </w:rPr>
      </w:pPr>
      <w:r>
        <w:rPr>
          <w:rFonts w:cs="Times New Roman"/>
          <w:color w:val="auto"/>
          <w:szCs w:val="24"/>
          <w:lang w:eastAsia="ru-RU" w:bidi="ar-SA"/>
        </w:rPr>
        <w:t>Лимиты командировочных расходов:</w:t>
      </w:r>
    </w:p>
    <w:p>
      <w:pPr>
        <w:pStyle w:val="Normal"/>
        <w:widowControl/>
        <w:numPr>
          <w:ilvl w:val="0"/>
          <w:numId w:val="6"/>
        </w:numPr>
        <w:tabs>
          <w:tab w:val="clear" w:pos="708"/>
          <w:tab w:val="left" w:pos="993" w:leader="none"/>
          <w:tab w:val="left" w:pos="1080"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суточные - 700 руб./сутки;</w:t>
      </w:r>
    </w:p>
    <w:p>
      <w:pPr>
        <w:pStyle w:val="Normal"/>
        <w:widowControl/>
        <w:numPr>
          <w:ilvl w:val="0"/>
          <w:numId w:val="6"/>
        </w:numPr>
        <w:tabs>
          <w:tab w:val="clear" w:pos="708"/>
          <w:tab w:val="left" w:pos="993" w:leader="none"/>
          <w:tab w:val="left" w:pos="1080"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проживание - до 4000 руб./сутки;</w:t>
      </w:r>
    </w:p>
    <w:p>
      <w:pPr>
        <w:pStyle w:val="Normal"/>
        <w:widowControl/>
        <w:numPr>
          <w:ilvl w:val="0"/>
          <w:numId w:val="6"/>
        </w:numPr>
        <w:tabs>
          <w:tab w:val="clear" w:pos="708"/>
          <w:tab w:val="left" w:pos="993" w:leader="none"/>
          <w:tab w:val="left" w:pos="1080" w:leader="none"/>
        </w:tabs>
        <w:snapToGrid w:val="true"/>
        <w:spacing w:before="0" w:after="0"/>
        <w:ind w:left="0" w:firstLine="709"/>
        <w:contextualSpacing/>
        <w:rPr>
          <w:rFonts w:eastAsia="Calibri" w:cs="Times New Roman"/>
          <w:color w:val="auto"/>
          <w:szCs w:val="24"/>
          <w:lang w:bidi="ar-SA"/>
        </w:rPr>
      </w:pPr>
      <w:r>
        <w:rPr>
          <w:rFonts w:eastAsia="Calibri" w:cs="Times New Roman"/>
          <w:color w:val="auto"/>
          <w:szCs w:val="24"/>
          <w:lang w:bidi="ar-SA"/>
        </w:rPr>
        <w:t>проезд: поезд (купе) или самолет (</w:t>
      </w:r>
      <w:r>
        <w:rPr>
          <w:rFonts w:cs="Times New Roman"/>
          <w:szCs w:val="24"/>
          <w:lang w:eastAsia="ru-RU" w:bidi="ar-SA"/>
        </w:rPr>
        <w:t>класс–эконом с багажом до 20 (двадцати) кг, ручная кладь до 10 (десяти) кг</w:t>
      </w:r>
      <w:r>
        <w:rPr>
          <w:rFonts w:eastAsia="Calibri" w:cs="Times New Roman"/>
          <w:color w:val="auto"/>
          <w:szCs w:val="24"/>
          <w:lang w:bidi="ar-SA"/>
        </w:rPr>
        <w:t>).</w:t>
      </w:r>
    </w:p>
    <w:p>
      <w:pPr>
        <w:pStyle w:val="Normal"/>
        <w:widowControl/>
        <w:tabs>
          <w:tab w:val="clear" w:pos="708"/>
          <w:tab w:val="left" w:pos="567" w:leader="none"/>
        </w:tabs>
        <w:snapToGrid w:val="true"/>
        <w:spacing w:before="0" w:after="0"/>
        <w:ind w:firstLine="709"/>
        <w:contextualSpacing/>
        <w:rPr>
          <w:rFonts w:eastAsia="Calibri" w:cs="Times New Roman"/>
          <w:color w:val="auto"/>
          <w:szCs w:val="24"/>
          <w:lang w:bidi="ar-SA"/>
        </w:rPr>
      </w:pPr>
      <w:r>
        <w:rPr>
          <w:rFonts w:eastAsia="Calibri" w:cs="Times New Roman"/>
          <w:color w:val="auto"/>
          <w:szCs w:val="24"/>
          <w:lang w:bidi="ar-SA"/>
        </w:rPr>
        <w:t xml:space="preserve">При учете командировочных расходов стоимость проезда (авиа-, ж/д, …) и проживания определяется </w:t>
      </w:r>
      <w:r>
        <w:rPr>
          <w:rFonts w:cs="Times New Roman"/>
          <w:color w:val="auto"/>
          <w:szCs w:val="24"/>
          <w:lang w:eastAsia="ru-RU" w:bidi="ar-SA"/>
        </w:rPr>
        <w:t xml:space="preserve">Методом анализа ТКП в Приложением №3 к </w:t>
      </w:r>
      <w:r>
        <w:rPr>
          <w:rFonts w:cs="Times New Roman"/>
          <w:szCs w:val="24"/>
          <w:lang w:eastAsia="ru-RU" w:bidi="ar-SA"/>
        </w:rPr>
        <w:t>Требованиям к оформлению и составлению сметной документации на выполнение строительно-монтажных работ по программе ремонтов.</w:t>
      </w:r>
    </w:p>
    <w:p>
      <w:pPr>
        <w:sectPr>
          <w:footerReference w:type="default" r:id="rId7"/>
          <w:footerReference w:type="first" r:id="rId8"/>
          <w:footnotePr>
            <w:numFmt w:val="decimal"/>
            <w:numRestart w:val="eachPage"/>
          </w:footnotePr>
          <w:type w:val="nextPage"/>
          <w:pgSz w:w="11906" w:h="16838"/>
          <w:pgMar w:left="993" w:right="924" w:gutter="0" w:header="0" w:top="568" w:footer="709" w:bottom="766"/>
          <w:pgNumType w:fmt="decimal"/>
          <w:formProt w:val="false"/>
          <w:textDirection w:val="lrTb"/>
          <w:docGrid w:type="default" w:linePitch="360" w:charSpace="0"/>
        </w:sectPr>
        <w:pStyle w:val="Normal"/>
        <w:widowControl/>
        <w:tabs>
          <w:tab w:val="clear" w:pos="708"/>
          <w:tab w:val="left" w:pos="567" w:leader="none"/>
        </w:tabs>
        <w:snapToGrid w:val="true"/>
        <w:spacing w:before="0" w:after="0"/>
        <w:ind w:firstLine="709"/>
        <w:contextualSpacing/>
        <w:rPr>
          <w:rFonts w:eastAsia="Calibri" w:cs="Times New Roman"/>
          <w:color w:val="auto"/>
          <w:szCs w:val="24"/>
          <w:lang w:bidi="ar-SA"/>
        </w:rPr>
      </w:pPr>
      <w:r>
        <w:rPr>
          <w:rFonts w:eastAsia="Calibri" w:cs="Times New Roman"/>
          <w:color w:val="auto"/>
          <w:szCs w:val="24"/>
          <w:lang w:bidi="ar-SA"/>
        </w:rPr>
        <w:t>При наличии командировочных расходов необходимо составлять общий реестр стоимости проездных билетов с разбивкой по сметам, к которым они относятся.</w:t>
      </w:r>
    </w:p>
    <w:p>
      <w:pPr>
        <w:pStyle w:val="Normal"/>
        <w:widowControl/>
        <w:snapToGrid w:val="true"/>
        <w:ind w:left="5811" w:hanging="0"/>
        <w:jc w:val="right"/>
        <w:rPr>
          <w:rFonts w:cs="Times New Roman"/>
          <w:color w:val="auto"/>
          <w:sz w:val="20"/>
          <w:szCs w:val="20"/>
          <w:lang w:eastAsia="ru-RU" w:bidi="ar-SA"/>
        </w:rPr>
      </w:pPr>
      <w:r>
        <w:rPr>
          <w:rFonts w:cs="Times New Roman"/>
          <w:color w:val="auto"/>
          <w:sz w:val="20"/>
          <w:szCs w:val="20"/>
          <w:lang w:eastAsia="ru-RU" w:bidi="ar-SA"/>
        </w:rPr>
        <w:t>Приложение №1</w:t>
      </w:r>
    </w:p>
    <w:p>
      <w:pPr>
        <w:pStyle w:val="Normal"/>
        <w:widowControl/>
        <w:snapToGrid w:val="true"/>
        <w:ind w:left="5811" w:hanging="0"/>
        <w:jc w:val="right"/>
        <w:rPr>
          <w:rFonts w:cs="Times New Roman"/>
          <w:color w:val="auto"/>
          <w:sz w:val="20"/>
          <w:szCs w:val="20"/>
          <w:lang w:eastAsia="ru-RU" w:bidi="ar-SA"/>
        </w:rPr>
      </w:pPr>
      <w:r>
        <w:rPr>
          <w:rFonts w:cs="Times New Roman"/>
          <w:color w:val="auto"/>
          <w:sz w:val="20"/>
          <w:szCs w:val="20"/>
          <w:lang w:eastAsia="ru-RU" w:bidi="ar-SA"/>
        </w:rPr>
        <w:t>к пояснительной записке</w:t>
      </w:r>
    </w:p>
    <w:p>
      <w:pPr>
        <w:pStyle w:val="Normal"/>
        <w:widowControl/>
        <w:snapToGrid w:val="true"/>
        <w:ind w:left="5811" w:hanging="0"/>
        <w:jc w:val="righ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по заполнению формы 3П</w:t>
      </w:r>
    </w:p>
    <w:p>
      <w:pPr>
        <w:pStyle w:val="Normal"/>
        <w:widowControl/>
        <w:snapToGrid w:val="true"/>
        <w:ind w:left="5811" w:hanging="0"/>
        <w:jc w:val="center"/>
        <w:rPr>
          <w:rFonts w:cs="Times New Roman"/>
          <w:b/>
          <w:color w:val="auto"/>
          <w:szCs w:val="24"/>
          <w:lang w:eastAsia="ru-RU" w:bidi="ar-SA"/>
        </w:rPr>
      </w:pPr>
      <w:r>
        <w:rPr>
          <w:rFonts w:cs="Times New Roman"/>
          <w:b/>
          <w:color w:val="auto"/>
          <w:szCs w:val="24"/>
          <w:lang w:eastAsia="ru-RU" w:bidi="ar-SA"/>
        </w:rPr>
      </w:r>
    </w:p>
    <w:p>
      <w:pPr>
        <w:pStyle w:val="Normal"/>
        <w:widowControl/>
        <w:snapToGrid w:val="true"/>
        <w:ind w:hanging="0"/>
        <w:jc w:val="center"/>
        <w:rPr>
          <w:rFonts w:cs="Times New Roman"/>
          <w:b/>
          <w:color w:val="auto"/>
          <w:szCs w:val="24"/>
          <w:lang w:eastAsia="ru-RU" w:bidi="ar-SA"/>
        </w:rPr>
      </w:pPr>
      <w:r>
        <w:rPr>
          <w:rFonts w:cs="Times New Roman"/>
          <w:b/>
          <w:color w:val="auto"/>
          <w:szCs w:val="24"/>
          <w:lang w:eastAsia="ru-RU" w:bidi="ar-SA"/>
        </w:rPr>
      </w:r>
    </w:p>
    <w:p>
      <w:pPr>
        <w:pStyle w:val="Normal"/>
        <w:widowControl/>
        <w:snapToGrid w:val="true"/>
        <w:ind w:hanging="0"/>
        <w:jc w:val="center"/>
        <w:rPr>
          <w:rFonts w:cs="Times New Roman"/>
          <w:b/>
          <w:color w:val="auto"/>
          <w:szCs w:val="24"/>
          <w:lang w:eastAsia="ru-RU" w:bidi="ar-SA"/>
        </w:rPr>
      </w:pPr>
      <w:r>
        <w:rPr>
          <w:rFonts w:cs="Times New Roman"/>
          <w:b/>
          <w:color w:val="auto"/>
          <w:szCs w:val="24"/>
          <w:lang w:eastAsia="ru-RU" w:bidi="ar-SA"/>
        </w:rPr>
        <w:t>СПРАВКА от__________ (указать дату составления справки) (Образец)</w:t>
      </w:r>
    </w:p>
    <w:p>
      <w:pPr>
        <w:pStyle w:val="Normal"/>
        <w:widowControl/>
        <w:snapToGrid w:val="true"/>
        <w:ind w:hanging="0"/>
        <w:jc w:val="left"/>
        <w:rPr>
          <w:rFonts w:cs="Times New Roman"/>
          <w:color w:val="auto"/>
          <w:szCs w:val="24"/>
          <w:lang w:eastAsia="ru-RU" w:bidi="ar-SA"/>
        </w:rPr>
      </w:pPr>
      <w:r>
        <w:rPr>
          <w:rFonts w:cs="Times New Roman"/>
          <w:color w:val="auto"/>
          <w:szCs w:val="24"/>
          <w:lang w:eastAsia="ru-RU" w:bidi="ar-SA"/>
        </w:rPr>
        <w:t>Настоящим (краткое/полное наименование организации подрядчика/контрагента) сообщает о том, что средняя оплата труда специалистов за рабочий день составляет:</w:t>
      </w:r>
    </w:p>
    <w:p>
      <w:pPr>
        <w:pStyle w:val="Normal"/>
        <w:widowControl/>
        <w:snapToGrid w:val="true"/>
        <w:ind w:hanging="0"/>
        <w:jc w:val="left"/>
        <w:rPr>
          <w:rFonts w:cs="Times New Roman"/>
          <w:color w:val="auto"/>
          <w:szCs w:val="24"/>
          <w:lang w:eastAsia="ru-RU" w:bidi="ar-SA"/>
        </w:rPr>
      </w:pPr>
      <w:r>
        <w:rPr>
          <w:rFonts w:cs="Times New Roman"/>
          <w:color w:val="auto"/>
          <w:szCs w:val="24"/>
          <w:lang w:eastAsia="ru-RU" w:bidi="ar-SA"/>
        </w:rPr>
      </w:r>
    </w:p>
    <w:tbl>
      <w:tblPr>
        <w:tblW w:w="8793" w:type="dxa"/>
        <w:jc w:val="left"/>
        <w:tblInd w:w="93" w:type="dxa"/>
        <w:tblLayout w:type="fixed"/>
        <w:tblCellMar>
          <w:top w:w="0" w:type="dxa"/>
          <w:left w:w="108" w:type="dxa"/>
          <w:bottom w:w="0" w:type="dxa"/>
          <w:right w:w="108" w:type="dxa"/>
        </w:tblCellMar>
        <w:tblLook w:val="04a0" w:noVBand="1" w:noHBand="0" w:lastColumn="0" w:firstColumn="1" w:lastRow="0" w:firstRow="1"/>
      </w:tblPr>
      <w:tblGrid>
        <w:gridCol w:w="1747"/>
        <w:gridCol w:w="3942"/>
        <w:gridCol w:w="3104"/>
      </w:tblGrid>
      <w:tr>
        <w:trPr>
          <w:trHeight w:val="325" w:hRule="atLeast"/>
        </w:trPr>
        <w:tc>
          <w:tcPr>
            <w:tcW w:w="17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Cs w:val="24"/>
                <w:lang w:eastAsia="ru-RU" w:bidi="ar-SA"/>
              </w:rPr>
            </w:pPr>
            <w:r>
              <w:rPr>
                <w:rFonts w:cs="Times New Roman"/>
                <w:szCs w:val="24"/>
                <w:lang w:eastAsia="ru-RU" w:bidi="ar-SA"/>
              </w:rPr>
              <w:t xml:space="preserve">№ </w:t>
            </w:r>
            <w:r>
              <w:rPr>
                <w:rFonts w:cs="Times New Roman"/>
                <w:szCs w:val="24"/>
                <w:lang w:eastAsia="ru-RU" w:bidi="ar-SA"/>
              </w:rPr>
              <w:t>п/п</w:t>
            </w:r>
          </w:p>
        </w:tc>
        <w:tc>
          <w:tcPr>
            <w:tcW w:w="3942"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Cs w:val="24"/>
                <w:lang w:eastAsia="ru-RU" w:bidi="ar-SA"/>
              </w:rPr>
            </w:pPr>
            <w:r>
              <w:rPr>
                <w:rFonts w:cs="Times New Roman"/>
                <w:color w:val="auto"/>
                <w:szCs w:val="24"/>
                <w:lang w:eastAsia="ru-RU" w:bidi="ar-SA"/>
              </w:rPr>
              <w:t>Должность специалиста</w:t>
            </w:r>
          </w:p>
        </w:tc>
        <w:tc>
          <w:tcPr>
            <w:tcW w:w="3104" w:type="dxa"/>
            <w:tcBorders>
              <w:top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Cs w:val="24"/>
                <w:lang w:eastAsia="ru-RU" w:bidi="ar-SA"/>
              </w:rPr>
            </w:pPr>
            <w:r>
              <w:rPr>
                <w:rFonts w:cs="Times New Roman"/>
                <w:color w:val="auto"/>
                <w:szCs w:val="24"/>
                <w:lang w:eastAsia="ru-RU" w:bidi="ar-SA"/>
              </w:rPr>
              <w:t>Заработная плата в день, в руб.</w:t>
            </w:r>
          </w:p>
        </w:tc>
      </w:tr>
      <w:tr>
        <w:trPr>
          <w:trHeight w:val="630"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Cs w:val="24"/>
                <w:lang w:eastAsia="ru-RU" w:bidi="ar-SA"/>
              </w:rPr>
            </w:pPr>
            <w:r>
              <w:rPr>
                <w:rFonts w:cs="Times New Roman"/>
                <w:szCs w:val="24"/>
                <w:lang w:eastAsia="ru-RU" w:bidi="ar-SA"/>
              </w:rPr>
              <w:t>1</w:t>
            </w:r>
          </w:p>
        </w:tc>
        <w:tc>
          <w:tcPr>
            <w:tcW w:w="3942"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Cs w:val="24"/>
                <w:lang w:eastAsia="ru-RU" w:bidi="ar-SA"/>
              </w:rPr>
            </w:pPr>
            <w:r>
              <w:rPr>
                <w:rFonts w:cs="Times New Roman"/>
                <w:color w:val="auto"/>
                <w:szCs w:val="24"/>
                <w:lang w:eastAsia="ru-RU" w:bidi="ar-SA"/>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Cs w:val="24"/>
                <w:lang w:eastAsia="ru-RU" w:bidi="ar-SA"/>
              </w:rPr>
            </w:pPr>
            <w:r>
              <w:rPr>
                <w:rFonts w:cs="Times New Roman"/>
                <w:szCs w:val="24"/>
                <w:lang w:eastAsia="ru-RU" w:bidi="ar-SA"/>
              </w:rPr>
              <w:t>-</w:t>
            </w:r>
          </w:p>
        </w:tc>
      </w:tr>
      <w:tr>
        <w:trPr>
          <w:trHeight w:val="581"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Cs w:val="24"/>
                <w:lang w:eastAsia="ru-RU" w:bidi="ar-SA"/>
              </w:rPr>
            </w:pPr>
            <w:r>
              <w:rPr>
                <w:rFonts w:cs="Times New Roman"/>
                <w:szCs w:val="24"/>
                <w:lang w:eastAsia="ru-RU" w:bidi="ar-SA"/>
              </w:rPr>
              <w:t>2</w:t>
            </w:r>
          </w:p>
        </w:tc>
        <w:tc>
          <w:tcPr>
            <w:tcW w:w="3942"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Cs w:val="24"/>
                <w:lang w:eastAsia="ru-RU" w:bidi="ar-SA"/>
              </w:rPr>
            </w:pPr>
            <w:r>
              <w:rPr>
                <w:rFonts w:cs="Times New Roman"/>
                <w:color w:val="auto"/>
                <w:szCs w:val="24"/>
                <w:lang w:eastAsia="ru-RU" w:bidi="ar-SA"/>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Cs w:val="24"/>
                <w:lang w:eastAsia="ru-RU" w:bidi="ar-SA"/>
              </w:rPr>
            </w:pPr>
            <w:r>
              <w:rPr>
                <w:rFonts w:cs="Times New Roman"/>
                <w:szCs w:val="24"/>
                <w:lang w:eastAsia="ru-RU" w:bidi="ar-SA"/>
              </w:rPr>
              <w:t>-</w:t>
            </w:r>
          </w:p>
        </w:tc>
      </w:tr>
      <w:tr>
        <w:trPr>
          <w:trHeight w:val="634"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Cs w:val="24"/>
                <w:lang w:eastAsia="ru-RU" w:bidi="ar-SA"/>
              </w:rPr>
            </w:pPr>
            <w:r>
              <w:rPr>
                <w:rFonts w:cs="Times New Roman"/>
                <w:szCs w:val="24"/>
                <w:lang w:eastAsia="ru-RU" w:bidi="ar-SA"/>
              </w:rPr>
              <w:t>3</w:t>
            </w:r>
          </w:p>
        </w:tc>
        <w:tc>
          <w:tcPr>
            <w:tcW w:w="3942"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Cs w:val="24"/>
                <w:lang w:eastAsia="ru-RU" w:bidi="ar-SA"/>
              </w:rPr>
            </w:pPr>
            <w:r>
              <w:rPr>
                <w:rFonts w:cs="Times New Roman"/>
                <w:color w:val="auto"/>
                <w:szCs w:val="24"/>
                <w:lang w:eastAsia="ru-RU" w:bidi="ar-SA"/>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szCs w:val="24"/>
                <w:lang w:eastAsia="ru-RU" w:bidi="ar-SA"/>
              </w:rPr>
            </w:pPr>
            <w:r>
              <w:rPr>
                <w:rFonts w:cs="Times New Roman"/>
                <w:szCs w:val="24"/>
                <w:lang w:eastAsia="ru-RU" w:bidi="ar-SA"/>
              </w:rPr>
              <w:t>-</w:t>
            </w:r>
          </w:p>
        </w:tc>
      </w:tr>
    </w:tbl>
    <w:p>
      <w:pPr>
        <w:pStyle w:val="Normal"/>
        <w:widowControl/>
        <w:snapToGrid w:val="true"/>
        <w:ind w:hanging="0"/>
        <w:jc w:val="left"/>
        <w:rPr>
          <w:rFonts w:cs="Times New Roman"/>
          <w:color w:val="auto"/>
          <w:szCs w:val="24"/>
          <w:lang w:eastAsia="ru-RU" w:bidi="ar-SA"/>
        </w:rPr>
      </w:pPr>
      <w:r>
        <w:rPr>
          <w:rFonts w:cs="Times New Roman"/>
          <w:color w:val="auto"/>
          <w:szCs w:val="24"/>
          <w:lang w:eastAsia="ru-RU" w:bidi="ar-SA"/>
        </w:rPr>
        <w:tab/>
      </w:r>
    </w:p>
    <w:p>
      <w:pPr>
        <w:pStyle w:val="Normal"/>
        <w:widowControl/>
        <w:snapToGrid w:val="true"/>
        <w:ind w:hanging="0"/>
        <w:jc w:val="left"/>
        <w:rPr>
          <w:rFonts w:cs="Times New Roman"/>
          <w:color w:val="auto"/>
          <w:szCs w:val="24"/>
          <w:lang w:eastAsia="ru-RU" w:bidi="ar-SA"/>
        </w:rPr>
      </w:pPr>
      <w:r>
        <w:rPr>
          <w:rFonts w:cs="Times New Roman"/>
          <w:color w:val="auto"/>
          <w:szCs w:val="24"/>
          <w:lang w:eastAsia="ru-RU" w:bidi="ar-SA"/>
        </w:rPr>
        <w:t>Накладные расходы _______(%)</w:t>
        <w:tab/>
        <w:tab/>
        <w:tab/>
        <w:tab/>
        <w:tab/>
        <w:tab/>
      </w:r>
    </w:p>
    <w:p>
      <w:pPr>
        <w:pStyle w:val="Normal"/>
        <w:widowControl/>
        <w:snapToGrid w:val="true"/>
        <w:ind w:hanging="0"/>
        <w:jc w:val="left"/>
        <w:rPr>
          <w:rFonts w:cs="Times New Roman"/>
          <w:color w:val="auto"/>
          <w:szCs w:val="24"/>
          <w:lang w:eastAsia="ru-RU" w:bidi="ar-SA"/>
        </w:rPr>
      </w:pPr>
      <w:r>
        <w:rPr>
          <w:rFonts w:cs="Times New Roman"/>
          <w:color w:val="auto"/>
          <w:szCs w:val="24"/>
          <w:lang w:eastAsia="ru-RU" w:bidi="ar-SA"/>
        </w:rPr>
        <w:t>Рентабельность предприятия_________(%)</w:t>
        <w:tab/>
        <w:tab/>
        <w:tab/>
        <w:tab/>
        <w:tab/>
        <w:tab/>
        <w:t xml:space="preserve"> </w:t>
      </w:r>
    </w:p>
    <w:p>
      <w:pPr>
        <w:pStyle w:val="Normal"/>
        <w:widowControl/>
        <w:snapToGrid w:val="true"/>
        <w:ind w:hanging="0"/>
        <w:jc w:val="left"/>
        <w:rPr>
          <w:rFonts w:cs="Times New Roman"/>
          <w:color w:val="auto"/>
          <w:szCs w:val="24"/>
          <w:lang w:eastAsia="ru-RU" w:bidi="ar-SA"/>
        </w:rPr>
      </w:pPr>
      <w:r>
        <w:rPr>
          <w:rFonts w:cs="Times New Roman"/>
          <w:color w:val="auto"/>
          <w:szCs w:val="24"/>
          <w:lang w:eastAsia="ru-RU" w:bidi="ar-SA"/>
        </w:rPr>
      </w:r>
    </w:p>
    <w:p>
      <w:pPr>
        <w:pStyle w:val="Normal"/>
        <w:widowControl/>
        <w:snapToGrid w:val="true"/>
        <w:ind w:hanging="0"/>
        <w:jc w:val="left"/>
        <w:rPr>
          <w:rFonts w:cs="Times New Roman"/>
          <w:b/>
          <w:color w:val="auto"/>
          <w:szCs w:val="24"/>
          <w:lang w:eastAsia="ru-RU" w:bidi="ar-SA"/>
        </w:rPr>
      </w:pPr>
      <w:r>
        <w:rPr>
          <w:rFonts w:cs="Times New Roman"/>
          <w:b/>
          <w:color w:val="auto"/>
          <w:szCs w:val="24"/>
          <w:lang w:eastAsia="ru-RU" w:bidi="ar-SA"/>
        </w:rPr>
        <w:t>Дата</w:t>
      </w:r>
    </w:p>
    <w:p>
      <w:pPr>
        <w:pStyle w:val="Normal"/>
        <w:widowControl/>
        <w:snapToGrid w:val="true"/>
        <w:ind w:hanging="0"/>
        <w:jc w:val="left"/>
        <w:rPr>
          <w:rFonts w:cs="Times New Roman"/>
          <w:b/>
          <w:color w:val="auto"/>
          <w:szCs w:val="24"/>
          <w:lang w:eastAsia="ru-RU" w:bidi="ar-SA"/>
        </w:rPr>
      </w:pPr>
      <w:r>
        <w:rPr>
          <w:rFonts w:cs="Times New Roman"/>
          <w:b/>
          <w:color w:val="auto"/>
          <w:szCs w:val="24"/>
          <w:lang w:eastAsia="ru-RU" w:bidi="ar-SA"/>
        </w:rPr>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t>(Должность единоличного исполнительного органа контрагента/подрядчика)</w:t>
        <w:tab/>
        <w:tab/>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t>(краткое/полное наименование организации) ________________ (ФИО)</w:t>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t>м.п.</w:t>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t>(Главный бухгалтер)</w:t>
      </w:r>
      <w:r>
        <w:rPr>
          <w:rStyle w:val="FootnoteReference"/>
          <w:rFonts w:cs="Times New Roman"/>
          <w:color w:val="auto"/>
          <w:szCs w:val="24"/>
          <w:vertAlign w:val="superscript"/>
          <w:lang w:eastAsia="ru-RU" w:bidi="ar-SA"/>
        </w:rPr>
        <w:footnoteReference w:id="4"/>
      </w:r>
      <w:r>
        <w:rPr>
          <w:rFonts w:cs="Times New Roman"/>
          <w:color w:val="auto"/>
          <w:szCs w:val="24"/>
          <w:lang w:eastAsia="ru-RU" w:bidi="ar-SA"/>
        </w:rPr>
        <w:tab/>
        <w:tab/>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t>(краткое/полное наименование организации контрагента/подрядчика) _________ (ФИО)</w:t>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t>м.п.</w:t>
      </w:r>
    </w:p>
    <w:p>
      <w:pPr>
        <w:pStyle w:val="Normal"/>
        <w:widowControl/>
        <w:snapToGrid w:val="true"/>
        <w:ind w:hanging="0"/>
        <w:rPr>
          <w:rFonts w:cs="Times New Roman"/>
          <w:color w:val="auto"/>
          <w:szCs w:val="24"/>
          <w:lang w:eastAsia="ru-RU" w:bidi="ar-SA"/>
        </w:rPr>
      </w:pPr>
      <w:r>
        <w:rPr>
          <w:rFonts w:cs="Times New Roman"/>
          <w:color w:val="auto"/>
          <w:szCs w:val="24"/>
          <w:lang w:eastAsia="ru-RU" w:bidi="ar-SA"/>
        </w:rPr>
      </w:r>
    </w:p>
    <w:p>
      <w:pPr>
        <w:pStyle w:val="Normal"/>
        <w:widowControl/>
        <w:snapToGrid w:val="true"/>
        <w:rPr>
          <w:rFonts w:cs="Times New Roman"/>
          <w:color w:val="auto"/>
          <w:szCs w:val="24"/>
          <w:lang w:eastAsia="ru-RU" w:bidi="ar-SA"/>
        </w:rPr>
      </w:pPr>
      <w:r>
        <w:rPr>
          <w:rFonts w:cs="Times New Roman"/>
          <w:color w:val="auto"/>
          <w:szCs w:val="24"/>
          <w:lang w:eastAsia="ru-RU" w:bidi="ar-SA"/>
        </w:rPr>
      </w:r>
      <w:r>
        <w:br w:type="page"/>
      </w:r>
    </w:p>
    <w:p>
      <w:pPr>
        <w:pStyle w:val="Normal"/>
        <w:widowControl/>
        <w:snapToGrid w:val="true"/>
        <w:ind w:left="5811" w:hanging="0"/>
        <w:jc w:val="right"/>
        <w:rPr>
          <w:rFonts w:cs="Times New Roman"/>
          <w:color w:val="auto"/>
          <w:sz w:val="20"/>
          <w:szCs w:val="20"/>
          <w:lang w:eastAsia="ru-RU" w:bidi="ar-SA"/>
        </w:rPr>
      </w:pPr>
      <w:r>
        <w:rPr>
          <w:rFonts w:cs="Times New Roman"/>
          <w:color w:val="auto"/>
          <w:sz w:val="20"/>
          <w:szCs w:val="20"/>
          <w:lang w:eastAsia="ru-RU" w:bidi="ar-SA"/>
        </w:rPr>
        <w:t>Приложение №2</w:t>
      </w:r>
    </w:p>
    <w:p>
      <w:pPr>
        <w:pStyle w:val="Normal"/>
        <w:widowControl/>
        <w:snapToGrid w:val="true"/>
        <w:ind w:left="5811" w:hanging="0"/>
        <w:jc w:val="right"/>
        <w:rPr>
          <w:rFonts w:cs="Times New Roman"/>
          <w:color w:val="auto"/>
          <w:sz w:val="20"/>
          <w:szCs w:val="20"/>
          <w:lang w:eastAsia="ru-RU" w:bidi="ar-SA"/>
        </w:rPr>
      </w:pPr>
      <w:r>
        <w:rPr>
          <w:rFonts w:cs="Times New Roman"/>
          <w:color w:val="auto"/>
          <w:sz w:val="20"/>
          <w:szCs w:val="20"/>
          <w:lang w:eastAsia="ru-RU" w:bidi="ar-SA"/>
        </w:rPr>
        <w:t>к пояснительной записке</w:t>
      </w:r>
    </w:p>
    <w:p>
      <w:pPr>
        <w:pStyle w:val="Normal"/>
        <w:widowControl/>
        <w:snapToGrid w:val="true"/>
        <w:ind w:left="5811" w:hanging="0"/>
        <w:jc w:val="right"/>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по заполнению формы 3П</w:t>
      </w:r>
    </w:p>
    <w:p>
      <w:pPr>
        <w:pStyle w:val="Normal"/>
        <w:widowControl/>
        <w:snapToGrid w:val="true"/>
        <w:ind w:hanging="0"/>
        <w:jc w:val="left"/>
        <w:rPr>
          <w:rFonts w:cs="Times New Roman"/>
          <w:color w:val="FF0000"/>
          <w:szCs w:val="24"/>
          <w:lang w:eastAsia="ru-RU" w:bidi="ar-SA"/>
        </w:rPr>
      </w:pPr>
      <w:r>
        <w:rPr>
          <w:rFonts w:cs="Times New Roman"/>
          <w:color w:val="FF0000"/>
          <w:szCs w:val="24"/>
          <w:lang w:eastAsia="ru-RU" w:bidi="ar-SA"/>
        </w:rPr>
      </w:r>
    </w:p>
    <w:p>
      <w:pPr>
        <w:pStyle w:val="Normal"/>
        <w:widowControl/>
        <w:snapToGrid w:val="true"/>
        <w:ind w:hanging="0"/>
        <w:jc w:val="center"/>
        <w:rPr>
          <w:rFonts w:cs="Times New Roman"/>
          <w:b/>
          <w:color w:val="auto"/>
          <w:szCs w:val="24"/>
          <w:lang w:eastAsia="ru-RU" w:bidi="ar-SA"/>
        </w:rPr>
      </w:pPr>
      <w:r>
        <w:rPr>
          <w:rFonts w:cs="Times New Roman"/>
          <w:b/>
          <w:color w:val="auto"/>
          <w:szCs w:val="24"/>
          <w:lang w:eastAsia="ru-RU" w:bidi="ar-SA"/>
        </w:rPr>
        <w:t>Образец расчета командировочных расходов</w:t>
      </w:r>
    </w:p>
    <w:p>
      <w:pPr>
        <w:pStyle w:val="Normal"/>
        <w:widowControl/>
        <w:snapToGrid w:val="true"/>
        <w:ind w:hanging="567"/>
        <w:jc w:val="right"/>
        <w:rPr>
          <w:rFonts w:cs="Times New Roman"/>
          <w:color w:val="auto"/>
          <w:szCs w:val="24"/>
          <w:lang w:eastAsia="ru-RU" w:bidi="ar-SA"/>
        </w:rPr>
      </w:pPr>
      <w:r>
        <w:rPr>
          <w:rFonts w:cs="Times New Roman"/>
          <w:color w:val="auto"/>
          <w:szCs w:val="24"/>
          <w:lang w:eastAsia="ru-RU" w:bidi="ar-SA"/>
        </w:rPr>
        <w:t>Приложение № __ к смете № __</w:t>
      </w:r>
    </w:p>
    <w:p>
      <w:pPr>
        <w:pStyle w:val="Normal"/>
        <w:widowControl/>
        <w:snapToGrid w:val="true"/>
        <w:ind w:hanging="567"/>
        <w:jc w:val="center"/>
        <w:rPr>
          <w:rFonts w:cs="Times New Roman"/>
          <w:b/>
          <w:color w:val="auto"/>
          <w:szCs w:val="24"/>
          <w:lang w:eastAsia="ru-RU" w:bidi="ar-SA"/>
        </w:rPr>
      </w:pPr>
      <w:r>
        <w:rPr>
          <w:rFonts w:cs="Times New Roman"/>
          <w:b/>
          <w:color w:val="auto"/>
          <w:szCs w:val="24"/>
          <w:lang w:eastAsia="ru-RU" w:bidi="ar-SA"/>
        </w:rPr>
        <w:t>Расчет командировочных расходов</w:t>
      </w:r>
    </w:p>
    <w:tbl>
      <w:tblPr>
        <w:tblW w:w="9669" w:type="dxa"/>
        <w:jc w:val="left"/>
        <w:tblInd w:w="-318" w:type="dxa"/>
        <w:tblLayout w:type="fixed"/>
        <w:tblCellMar>
          <w:top w:w="0" w:type="dxa"/>
          <w:left w:w="108" w:type="dxa"/>
          <w:bottom w:w="0" w:type="dxa"/>
          <w:right w:w="108" w:type="dxa"/>
        </w:tblCellMar>
        <w:tblLook w:val="04a0" w:noVBand="1" w:noHBand="0" w:lastColumn="0" w:firstColumn="1" w:lastRow="0" w:firstRow="1"/>
      </w:tblPr>
      <w:tblGrid>
        <w:gridCol w:w="455"/>
        <w:gridCol w:w="141"/>
        <w:gridCol w:w="992"/>
        <w:gridCol w:w="710"/>
        <w:gridCol w:w="1275"/>
        <w:gridCol w:w="709"/>
        <w:gridCol w:w="993"/>
        <w:gridCol w:w="1274"/>
        <w:gridCol w:w="851"/>
        <w:gridCol w:w="850"/>
        <w:gridCol w:w="1418"/>
      </w:tblGrid>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 xml:space="preserve">№ </w:t>
            </w:r>
            <w:r>
              <w:rPr>
                <w:rFonts w:cs="Times New Roman"/>
                <w:color w:val="auto"/>
                <w:sz w:val="20"/>
                <w:szCs w:val="20"/>
                <w:lang w:eastAsia="ru-RU" w:bidi="ar-SA"/>
              </w:rPr>
              <w:t>п</w:t>
            </w:r>
            <w:r>
              <w:rPr>
                <w:rFonts w:cs="Times New Roman"/>
                <w:color w:val="auto"/>
                <w:sz w:val="20"/>
                <w:szCs w:val="20"/>
                <w:lang w:val="en-US" w:eastAsia="ru-RU" w:bidi="ar-SA"/>
              </w:rPr>
              <w:t>/</w:t>
            </w:r>
            <w:r>
              <w:rPr>
                <w:rFonts w:cs="Times New Roman"/>
                <w:color w:val="auto"/>
                <w:sz w:val="20"/>
                <w:szCs w:val="20"/>
                <w:lang w:eastAsia="ru-RU" w:bidi="ar-SA"/>
              </w:rPr>
              <w:t>п</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 xml:space="preserve">Пункт назначения </w:t>
              <w:br/>
              <w:t>(туда / обратно)</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 xml:space="preserve">Вид транспорта </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Стоимость проезда, руб. (без НДС)</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Кол-во дней</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 xml:space="preserve">Стоимость суточных, руб./сут. </w:t>
              <w:br/>
              <w:t>(без НДС)</w:t>
            </w:r>
          </w:p>
        </w:tc>
        <w:tc>
          <w:tcPr>
            <w:tcW w:w="12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 xml:space="preserve">Стоимость проживания, руб./сут.. </w:t>
              <w:br/>
              <w:t>(без НДС)</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Кол-во командировок</w:t>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Кол-во командированных человек</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 xml:space="preserve">Итого стоимость командировочных расходов, руб. </w:t>
              <w:br/>
              <w:t>(без НДС)</w:t>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9213"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Из пункта 1 в пункт 5</w:t>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1</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Из пункта 1 в пункт 2</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2</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Из пункта 2 в пункт 3</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12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5</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Из пункта 4 в пункт 5</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right"/>
              <w:rPr>
                <w:rFonts w:cs="Times New Roman"/>
                <w:color w:val="auto"/>
                <w:sz w:val="20"/>
                <w:szCs w:val="20"/>
                <w:lang w:eastAsia="ru-RU" w:bidi="ar-SA"/>
              </w:rPr>
            </w:pPr>
            <w:r>
              <w:rPr>
                <w:rFonts w:cs="Times New Roman"/>
                <w:color w:val="auto"/>
                <w:sz w:val="20"/>
                <w:szCs w:val="20"/>
                <w:lang w:eastAsia="ru-RU" w:bidi="ar-SA"/>
              </w:rPr>
            </w:r>
          </w:p>
        </w:tc>
        <w:tc>
          <w:tcPr>
            <w:tcW w:w="7795"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Итого стоимость командировочных расходов из пункта 1 в пункт 5</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rHeight w:val="217" w:hRule="atLeast"/>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9213"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Из пункта 5 в пункт 1</w:t>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6</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Из пункта 5 в пункт 4</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7</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Из пункта 4 в пункт 3</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12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w:t>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w:t>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9</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t>Из пункта 2 в пункт 1</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right"/>
              <w:rPr>
                <w:rFonts w:cs="Times New Roman"/>
                <w:color w:val="auto"/>
                <w:sz w:val="20"/>
                <w:szCs w:val="20"/>
                <w:lang w:eastAsia="ru-RU" w:bidi="ar-SA"/>
              </w:rPr>
            </w:pPr>
            <w:r>
              <w:rPr>
                <w:rFonts w:cs="Times New Roman"/>
                <w:color w:val="auto"/>
                <w:sz w:val="20"/>
                <w:szCs w:val="20"/>
                <w:lang w:eastAsia="ru-RU" w:bidi="ar-SA"/>
              </w:rPr>
            </w:r>
          </w:p>
        </w:tc>
        <w:tc>
          <w:tcPr>
            <w:tcW w:w="7795"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Итого стоимость командировочных расходов из пункта 5 в пункт 1</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true"/>
              <w:ind w:hanging="0"/>
              <w:jc w:val="right"/>
              <w:rPr>
                <w:rFonts w:cs="Times New Roman"/>
                <w:color w:val="auto"/>
                <w:sz w:val="20"/>
                <w:szCs w:val="20"/>
                <w:lang w:eastAsia="ru-RU" w:bidi="ar-SA"/>
              </w:rPr>
            </w:pPr>
            <w:r>
              <w:rPr>
                <w:rFonts w:cs="Times New Roman"/>
                <w:color w:val="auto"/>
                <w:sz w:val="20"/>
                <w:szCs w:val="20"/>
                <w:lang w:eastAsia="ru-RU" w:bidi="ar-SA"/>
              </w:rPr>
            </w:r>
          </w:p>
        </w:tc>
        <w:tc>
          <w:tcPr>
            <w:tcW w:w="7795"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center"/>
              <w:rPr>
                <w:rFonts w:cs="Times New Roman"/>
                <w:color w:val="auto"/>
                <w:sz w:val="20"/>
                <w:szCs w:val="20"/>
                <w:lang w:eastAsia="ru-RU" w:bidi="ar-SA"/>
              </w:rPr>
            </w:pPr>
            <w:r>
              <w:rPr>
                <w:rFonts w:cs="Times New Roman"/>
                <w:color w:val="auto"/>
                <w:sz w:val="20"/>
                <w:szCs w:val="20"/>
                <w:lang w:eastAsia="ru-RU" w:bidi="ar-SA"/>
              </w:rPr>
              <w:t>Всего стоимость командировочных расходов</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true"/>
              <w:ind w:hanging="0"/>
              <w:jc w:val="left"/>
              <w:rPr>
                <w:rFonts w:cs="Times New Roman"/>
                <w:color w:val="auto"/>
                <w:sz w:val="20"/>
                <w:szCs w:val="20"/>
                <w:lang w:eastAsia="ru-RU" w:bidi="ar-SA"/>
              </w:rPr>
            </w:pPr>
            <w:r>
              <w:rPr>
                <w:rFonts w:cs="Times New Roman"/>
                <w:color w:val="auto"/>
                <w:sz w:val="20"/>
                <w:szCs w:val="20"/>
                <w:lang w:eastAsia="ru-RU" w:bidi="ar-SA"/>
              </w:rPr>
            </w:r>
          </w:p>
        </w:tc>
      </w:tr>
    </w:tbl>
    <w:p>
      <w:pPr>
        <w:pStyle w:val="Normal"/>
        <w:widowControl/>
        <w:snapToGrid w:val="true"/>
        <w:ind w:left="6373" w:hanging="0"/>
        <w:jc w:val="left"/>
        <w:rPr>
          <w:rFonts w:cs="Times New Roman"/>
          <w:color w:val="auto"/>
          <w:szCs w:val="24"/>
          <w:lang w:eastAsia="ru-RU" w:bidi="ar-SA"/>
        </w:rPr>
      </w:pPr>
      <w:r>
        <w:rPr>
          <w:rFonts w:cs="Times New Roman"/>
          <w:color w:val="auto"/>
          <w:szCs w:val="24"/>
          <w:lang w:eastAsia="ru-RU" w:bidi="ar-SA"/>
        </w:rPr>
      </w:r>
      <w:r>
        <w:br w:type="page"/>
      </w:r>
    </w:p>
    <w:p>
      <w:pPr>
        <w:pStyle w:val="Normal"/>
        <w:widowControl/>
        <w:snapToGrid w:val="true"/>
        <w:ind w:left="5811" w:hanging="0"/>
        <w:jc w:val="right"/>
        <w:rPr>
          <w:rFonts w:cs="Times New Roman"/>
          <w:sz w:val="20"/>
          <w:szCs w:val="20"/>
          <w:lang w:eastAsia="ru-RU" w:bidi="ar-SA"/>
        </w:rPr>
      </w:pPr>
      <w:bookmarkStart w:id="0" w:name="RANGE!A1%3AD25"/>
      <w:bookmarkStart w:id="1" w:name="P105"/>
      <w:bookmarkStart w:id="2" w:name="P104"/>
      <w:bookmarkStart w:id="3" w:name="P102"/>
      <w:bookmarkStart w:id="4" w:name="P90"/>
      <w:bookmarkStart w:id="5" w:name="P83"/>
      <w:bookmarkStart w:id="6" w:name="P81"/>
      <w:bookmarkStart w:id="7" w:name="P80"/>
      <w:bookmarkStart w:id="8" w:name="P79"/>
      <w:bookmarkStart w:id="9" w:name="P240"/>
      <w:bookmarkEnd w:id="0"/>
      <w:bookmarkEnd w:id="1"/>
      <w:bookmarkEnd w:id="2"/>
      <w:bookmarkEnd w:id="3"/>
      <w:bookmarkEnd w:id="4"/>
      <w:bookmarkEnd w:id="5"/>
      <w:bookmarkEnd w:id="6"/>
      <w:bookmarkEnd w:id="7"/>
      <w:bookmarkEnd w:id="8"/>
      <w:bookmarkEnd w:id="9"/>
      <w:r>
        <w:rPr>
          <w:rFonts w:cs="Times New Roman"/>
          <w:sz w:val="20"/>
          <w:szCs w:val="20"/>
          <w:lang w:eastAsia="ru-RU" w:bidi="ar-SA"/>
        </w:rPr>
        <w:t xml:space="preserve">Приложение № 2.1 </w:t>
      </w:r>
    </w:p>
    <w:p>
      <w:pPr>
        <w:pStyle w:val="Normal"/>
        <w:widowControl/>
        <w:snapToGrid w:val="true"/>
        <w:ind w:left="5811" w:firstLine="142"/>
        <w:jc w:val="right"/>
        <w:rPr>
          <w:rFonts w:cs="Times New Roman"/>
          <w:b/>
          <w:sz w:val="20"/>
          <w:szCs w:val="20"/>
          <w:lang w:eastAsia="ru-RU" w:bidi="ar-SA"/>
        </w:rPr>
      </w:pPr>
      <w:r>
        <w:rPr>
          <w:rFonts w:cs="Times New Roman"/>
          <w:sz w:val="20"/>
          <w:szCs w:val="20"/>
          <w:lang w:eastAsia="ru-RU" w:bidi="ar-SA"/>
        </w:rPr>
        <w:t>к Требованиям к оформлению и составлению сметной документации по ценообразованию</w:t>
      </w:r>
    </w:p>
    <w:p>
      <w:pPr>
        <w:pStyle w:val="Normal"/>
        <w:widowControl/>
        <w:snapToGrid w:val="true"/>
        <w:ind w:left="142" w:hanging="142"/>
        <w:jc w:val="left"/>
        <w:rPr>
          <w:rFonts w:cs="Times New Roman"/>
          <w:b/>
          <w:color w:val="auto"/>
          <w:szCs w:val="24"/>
          <w:lang w:eastAsia="ru-RU" w:bidi="ar-SA"/>
        </w:rPr>
      </w:pPr>
      <w:r>
        <w:rPr>
          <w:rFonts w:cs="Times New Roman"/>
          <w:b/>
          <w:color w:val="auto"/>
          <w:szCs w:val="24"/>
          <w:lang w:eastAsia="ru-RU" w:bidi="ar-SA"/>
        </w:rPr>
        <w:t>Образец № 3п</w:t>
      </w:r>
    </w:p>
    <w:tbl>
      <w:tblPr>
        <w:tblW w:w="9637"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9637"/>
      </w:tblGrid>
      <w:tr>
        <w:trPr/>
        <w:tc>
          <w:tcPr>
            <w:tcW w:w="9637" w:type="dxa"/>
            <w:tcBorders/>
          </w:tcPr>
          <w:p>
            <w:pPr>
              <w:pStyle w:val="Normal"/>
              <w:widowControl w:val="false"/>
              <w:snapToGrid w:val="true"/>
              <w:ind w:left="6523" w:hanging="284"/>
              <w:jc w:val="left"/>
              <w:rPr>
                <w:rFonts w:cs="Times New Roman"/>
                <w:color w:val="auto"/>
                <w:szCs w:val="24"/>
                <w:lang w:eastAsia="ru-RU" w:bidi="ar-SA"/>
              </w:rPr>
            </w:pPr>
            <w:r>
              <w:rPr>
                <w:rFonts w:cs="Times New Roman"/>
                <w:color w:val="auto"/>
                <w:szCs w:val="24"/>
                <w:lang w:eastAsia="ru-RU" w:bidi="ar-SA"/>
              </w:rPr>
              <w:t xml:space="preserve"> </w:t>
            </w:r>
            <w:r>
              <w:rPr>
                <w:rFonts w:cs="Times New Roman"/>
                <w:color w:val="auto"/>
                <w:szCs w:val="24"/>
                <w:lang w:eastAsia="ru-RU" w:bidi="ar-SA"/>
              </w:rPr>
              <w:t>Приложение №_____</w:t>
            </w:r>
          </w:p>
          <w:p>
            <w:pPr>
              <w:pStyle w:val="Normal"/>
              <w:widowControl w:val="false"/>
              <w:snapToGrid w:val="true"/>
              <w:ind w:left="6239" w:right="-284" w:hanging="0"/>
              <w:jc w:val="left"/>
              <w:rPr>
                <w:rFonts w:cs="Times New Roman"/>
                <w:color w:val="auto"/>
                <w:szCs w:val="24"/>
                <w:lang w:eastAsia="ru-RU" w:bidi="ar-SA"/>
              </w:rPr>
            </w:pPr>
            <w:r>
              <w:rPr>
                <w:rFonts w:cs="Times New Roman"/>
                <w:color w:val="auto"/>
                <w:szCs w:val="24"/>
                <w:lang w:eastAsia="ru-RU" w:bidi="ar-SA"/>
              </w:rPr>
              <w:t xml:space="preserve"> </w:t>
            </w:r>
            <w:r>
              <w:rPr>
                <w:rFonts w:cs="Times New Roman"/>
                <w:color w:val="auto"/>
                <w:szCs w:val="24"/>
                <w:lang w:eastAsia="ru-RU" w:bidi="ar-SA"/>
              </w:rPr>
              <w:t xml:space="preserve">к договору от ______№_______ </w:t>
            </w:r>
          </w:p>
          <w:p>
            <w:pPr>
              <w:pStyle w:val="Normal"/>
              <w:widowControl w:val="false"/>
              <w:snapToGrid w:val="true"/>
              <w:ind w:left="6239" w:right="-284" w:hanging="0"/>
              <w:jc w:val="left"/>
              <w:rPr>
                <w:rFonts w:cs="Times New Roman"/>
                <w:color w:val="auto"/>
                <w:szCs w:val="24"/>
                <w:lang w:eastAsia="ru-RU" w:bidi="ar-SA"/>
              </w:rPr>
            </w:pPr>
            <w:r>
              <w:rPr>
                <w:rFonts w:cs="Times New Roman"/>
                <w:color w:val="auto"/>
                <w:szCs w:val="24"/>
                <w:lang w:eastAsia="ru-RU" w:bidi="ar-SA"/>
              </w:rPr>
              <w:t xml:space="preserve"> </w:t>
            </w:r>
            <w:r>
              <w:rPr>
                <w:rFonts w:cs="Times New Roman"/>
                <w:color w:val="auto"/>
                <w:szCs w:val="24"/>
                <w:lang w:eastAsia="ru-RU" w:bidi="ar-SA"/>
              </w:rPr>
              <w:t>(дополнительному соглашению)</w:t>
            </w:r>
          </w:p>
          <w:tbl>
            <w:tblPr>
              <w:tblW w:w="956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350"/>
              <w:gridCol w:w="5213"/>
            </w:tblGrid>
            <w:tr>
              <w:trPr>
                <w:trHeight w:val="446" w:hRule="atLeast"/>
              </w:trPr>
              <w:tc>
                <w:tcPr>
                  <w:tcW w:w="4350" w:type="dxa"/>
                  <w:tcBorders/>
                  <w:vAlign w:val="bottom"/>
                </w:tcPr>
                <w:p>
                  <w:pPr>
                    <w:pStyle w:val="Normal"/>
                    <w:widowControl w:val="false"/>
                    <w:snapToGrid w:val="true"/>
                    <w:ind w:hanging="0"/>
                    <w:jc w:val="left"/>
                    <w:rPr>
                      <w:rFonts w:cs="Times New Roman"/>
                      <w:b/>
                      <w:bCs/>
                      <w:color w:val="auto"/>
                      <w:szCs w:val="24"/>
                      <w:lang w:eastAsia="ru-RU" w:bidi="ar-SA"/>
                    </w:rPr>
                  </w:pPr>
                  <w:r>
                    <w:rPr>
                      <w:rFonts w:cs="Times New Roman"/>
                      <w:b/>
                      <w:bCs/>
                      <w:color w:val="auto"/>
                      <w:szCs w:val="24"/>
                      <w:lang w:eastAsia="ru-RU" w:bidi="ar-SA"/>
                    </w:rPr>
                  </w:r>
                </w:p>
                <w:p>
                  <w:pPr>
                    <w:pStyle w:val="Normal"/>
                    <w:widowControl w:val="false"/>
                    <w:snapToGrid w:val="true"/>
                    <w:ind w:hanging="0"/>
                    <w:jc w:val="left"/>
                    <w:rPr>
                      <w:rFonts w:cs="Times New Roman"/>
                      <w:color w:val="auto"/>
                      <w:szCs w:val="24"/>
                      <w:lang w:eastAsia="ru-RU" w:bidi="ar-SA"/>
                    </w:rPr>
                  </w:pPr>
                  <w:r>
                    <w:rPr>
                      <w:rFonts w:cs="Times New Roman"/>
                      <w:b/>
                      <w:bCs/>
                      <w:color w:val="auto"/>
                      <w:szCs w:val="24"/>
                      <w:lang w:eastAsia="ru-RU" w:bidi="ar-SA"/>
                    </w:rPr>
                    <w:t>СОГЛАСОВАНО:</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________________(Подрядчик)</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________________ Ф.И.О</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r>
                </w:p>
              </w:tc>
              <w:tc>
                <w:tcPr>
                  <w:tcW w:w="5213" w:type="dxa"/>
                  <w:tcBorders/>
                </w:tcPr>
                <w:p>
                  <w:pPr>
                    <w:pStyle w:val="Normal"/>
                    <w:widowControl w:val="false"/>
                    <w:snapToGrid w:val="true"/>
                    <w:ind w:hanging="0"/>
                    <w:jc w:val="left"/>
                    <w:rPr>
                      <w:rFonts w:cs="Times New Roman"/>
                      <w:b/>
                      <w:bCs/>
                      <w:color w:val="auto"/>
                      <w:szCs w:val="24"/>
                      <w:lang w:eastAsia="ru-RU" w:bidi="ar-SA"/>
                    </w:rPr>
                  </w:pPr>
                  <w:r>
                    <w:rPr>
                      <w:rFonts w:cs="Times New Roman"/>
                      <w:b/>
                      <w:bCs/>
                      <w:color w:val="auto"/>
                      <w:szCs w:val="24"/>
                      <w:lang w:eastAsia="ru-RU" w:bidi="ar-SA"/>
                    </w:rPr>
                  </w:r>
                </w:p>
                <w:p>
                  <w:pPr>
                    <w:pStyle w:val="Normal"/>
                    <w:widowControl w:val="false"/>
                    <w:snapToGrid w:val="true"/>
                    <w:ind w:left="1886" w:hanging="0"/>
                    <w:jc w:val="left"/>
                    <w:rPr>
                      <w:rFonts w:cs="Times New Roman"/>
                      <w:b/>
                      <w:bCs/>
                      <w:color w:val="auto"/>
                      <w:szCs w:val="24"/>
                      <w:lang w:eastAsia="ru-RU" w:bidi="ar-SA"/>
                    </w:rPr>
                  </w:pPr>
                  <w:r>
                    <w:rPr>
                      <w:rFonts w:cs="Times New Roman"/>
                      <w:b/>
                      <w:bCs/>
                      <w:color w:val="auto"/>
                      <w:szCs w:val="24"/>
                      <w:lang w:eastAsia="ru-RU" w:bidi="ar-SA"/>
                    </w:rPr>
                    <w:t>УТВЕРЖДАЮ:</w:t>
                  </w:r>
                </w:p>
                <w:p>
                  <w:pPr>
                    <w:pStyle w:val="Normal"/>
                    <w:widowControl w:val="false"/>
                    <w:snapToGrid w:val="true"/>
                    <w:ind w:left="1886" w:hanging="0"/>
                    <w:jc w:val="left"/>
                    <w:rPr>
                      <w:rFonts w:cs="Times New Roman"/>
                      <w:bCs/>
                      <w:color w:val="auto"/>
                      <w:szCs w:val="24"/>
                      <w:lang w:eastAsia="ru-RU" w:bidi="ar-SA"/>
                    </w:rPr>
                  </w:pPr>
                  <w:r>
                    <w:rPr>
                      <w:rFonts w:cs="Times New Roman"/>
                      <w:bCs/>
                      <w:color w:val="auto"/>
                      <w:szCs w:val="24"/>
                      <w:lang w:eastAsia="ru-RU" w:bidi="ar-SA"/>
                    </w:rPr>
                    <w:t>_________________(Заказчик)</w:t>
                  </w:r>
                  <w:bookmarkStart w:id="10" w:name="_GoBack"/>
                  <w:bookmarkEnd w:id="10"/>
                </w:p>
                <w:p>
                  <w:pPr>
                    <w:pStyle w:val="Normal"/>
                    <w:widowControl w:val="false"/>
                    <w:snapToGrid w:val="true"/>
                    <w:ind w:left="1886" w:hanging="0"/>
                    <w:jc w:val="left"/>
                    <w:rPr>
                      <w:rFonts w:cs="Times New Roman"/>
                      <w:color w:val="auto"/>
                      <w:szCs w:val="24"/>
                      <w:lang w:eastAsia="ru-RU" w:bidi="ar-SA"/>
                    </w:rPr>
                  </w:pPr>
                  <w:r>
                    <w:rPr>
                      <w:rFonts w:cs="Times New Roman"/>
                      <w:color w:val="auto"/>
                      <w:szCs w:val="24"/>
                      <w:lang w:eastAsia="ru-RU" w:bidi="ar-SA"/>
                    </w:rPr>
                    <w:t>_________________Ф.И.О.</w:t>
                  </w:r>
                </w:p>
                <w:p>
                  <w:pPr>
                    <w:pStyle w:val="Normal"/>
                    <w:widowControl w:val="false"/>
                    <w:snapToGrid w:val="true"/>
                    <w:ind w:hanging="0"/>
                    <w:jc w:val="left"/>
                    <w:rPr>
                      <w:rFonts w:cs="Times New Roman"/>
                      <w:b/>
                      <w:bCs/>
                      <w:color w:val="auto"/>
                      <w:szCs w:val="24"/>
                      <w:lang w:eastAsia="ru-RU" w:bidi="ar-SA"/>
                    </w:rPr>
                  </w:pPr>
                  <w:r>
                    <w:rPr>
                      <w:rFonts w:cs="Times New Roman"/>
                      <w:b/>
                      <w:bCs/>
                      <w:color w:val="auto"/>
                      <w:szCs w:val="24"/>
                      <w:lang w:eastAsia="ru-RU" w:bidi="ar-SA"/>
                    </w:rPr>
                  </w:r>
                </w:p>
              </w:tc>
            </w:tr>
          </w:tbl>
          <w:p>
            <w:pPr>
              <w:pStyle w:val="Normal"/>
              <w:widowControl w:val="false"/>
              <w:snapToGrid w:val="true"/>
              <w:ind w:hanging="0"/>
              <w:jc w:val="center"/>
              <w:rPr>
                <w:rFonts w:cs="Times New Roman"/>
                <w:b/>
                <w:bCs/>
                <w:color w:val="auto"/>
                <w:szCs w:val="24"/>
                <w:lang w:eastAsia="ru-RU" w:bidi="ar-SA"/>
              </w:rPr>
            </w:pPr>
            <w:r>
              <w:rPr>
                <w:rFonts w:cs="Times New Roman"/>
                <w:b/>
                <w:bCs/>
                <w:color w:val="auto"/>
                <w:szCs w:val="24"/>
                <w:lang w:eastAsia="ru-RU" w:bidi="ar-SA"/>
              </w:rPr>
              <w:t xml:space="preserve">Смета № </w:t>
              <w:br/>
              <w:t>на шеф - монтажные работы</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Наименование предприятия, здания, сооружения, вида шеф-монтажных работ_____________________________________________________________</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__________________________________________________________________</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Наименование монтажной организации ________________________________</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Наименование организации заказчика _________________________________</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Составлена в текущих ценах, соответствующих периоду выполнения работ по договору</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r>
          </w:p>
          <w:p>
            <w:pPr>
              <w:pStyle w:val="Normal"/>
              <w:widowControl w:val="false"/>
              <w:snapToGrid w:val="true"/>
              <w:ind w:hanging="0"/>
              <w:jc w:val="left"/>
              <w:rPr>
                <w:rFonts w:cs="Times New Roman"/>
                <w:color w:val="auto"/>
                <w:szCs w:val="24"/>
                <w:lang w:eastAsia="ru-RU" w:bidi="ar-SA"/>
              </w:rPr>
            </w:pPr>
            <w:r>
              <w:rPr>
                <w:rFonts w:cs="Times New Roman"/>
                <w:b/>
                <w:color w:val="auto"/>
                <w:szCs w:val="24"/>
                <w:lang w:eastAsia="ru-RU" w:bidi="ar-SA"/>
              </w:rPr>
              <w:t>1. Расчет заработной платы</w:t>
            </w:r>
            <w:r>
              <w:rPr>
                <w:rFonts w:cs="Times New Roman"/>
                <w:color w:val="auto"/>
                <w:szCs w:val="24"/>
                <w:lang w:eastAsia="ru-RU" w:bidi="ar-SA"/>
              </w:rPr>
              <w:tab/>
              <w:tab/>
              <w:tab/>
              <w:tab/>
              <w:tab/>
              <w:tab/>
              <w:tab/>
              <w:tab/>
              <w:t>руб.</w:t>
            </w:r>
          </w:p>
          <w:tbl>
            <w:tblPr>
              <w:tblW w:w="9353" w:type="dxa"/>
              <w:jc w:val="center"/>
              <w:tblInd w:w="0" w:type="dxa"/>
              <w:tblLayout w:type="fixed"/>
              <w:tblCellMar>
                <w:top w:w="0" w:type="dxa"/>
                <w:left w:w="28" w:type="dxa"/>
                <w:bottom w:w="0" w:type="dxa"/>
                <w:right w:w="28" w:type="dxa"/>
              </w:tblCellMar>
              <w:tblLook w:val="04a0" w:noVBand="1" w:noHBand="0" w:lastColumn="0" w:firstColumn="1" w:lastRow="0" w:firstRow="1"/>
            </w:tblPr>
            <w:tblGrid>
              <w:gridCol w:w="561"/>
              <w:gridCol w:w="2197"/>
              <w:gridCol w:w="1180"/>
              <w:gridCol w:w="1175"/>
              <w:gridCol w:w="1406"/>
              <w:gridCol w:w="1403"/>
              <w:gridCol w:w="1430"/>
            </w:tblGrid>
            <w:tr>
              <w:trPr>
                <w:tblHeader w:val="true"/>
              </w:trPr>
              <w:tc>
                <w:tcPr>
                  <w:tcW w:w="561"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 xml:space="preserve">№ </w:t>
                  </w:r>
                  <w:r>
                    <w:rPr>
                      <w:rFonts w:cs="Times New Roman"/>
                      <w:color w:val="auto"/>
                      <w:szCs w:val="24"/>
                      <w:lang w:eastAsia="ru-RU" w:bidi="ar-SA"/>
                    </w:rPr>
                    <w:t>п</w:t>
                  </w:r>
                  <w:r>
                    <w:rPr>
                      <w:rFonts w:cs="Times New Roman"/>
                      <w:color w:val="auto"/>
                      <w:szCs w:val="24"/>
                      <w:lang w:val="en-US" w:eastAsia="ru-RU" w:bidi="ar-SA"/>
                    </w:rPr>
                    <w:t>/</w:t>
                  </w:r>
                  <w:r>
                    <w:rPr>
                      <w:rFonts w:cs="Times New Roman"/>
                      <w:color w:val="auto"/>
                      <w:szCs w:val="24"/>
                      <w:lang w:eastAsia="ru-RU" w:bidi="ar-SA"/>
                    </w:rPr>
                    <w:t>п.</w:t>
                  </w:r>
                </w:p>
              </w:tc>
              <w:tc>
                <w:tcPr>
                  <w:tcW w:w="2197" w:type="dxa"/>
                  <w:vMerge w:val="restart"/>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Перечень выполняемых работ</w:t>
                  </w:r>
                </w:p>
              </w:tc>
              <w:tc>
                <w:tcPr>
                  <w:tcW w:w="2355" w:type="dxa"/>
                  <w:gridSpan w:val="2"/>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Исполнители</w:t>
                  </w:r>
                </w:p>
              </w:tc>
              <w:tc>
                <w:tcPr>
                  <w:tcW w:w="1406"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Количество человеко-дней</w:t>
                  </w:r>
                </w:p>
              </w:tc>
              <w:tc>
                <w:tcPr>
                  <w:tcW w:w="1403"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Средняя оплата труда</w:t>
                  </w:r>
                </w:p>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 xml:space="preserve"> </w:t>
                  </w:r>
                  <w:r>
                    <w:rPr>
                      <w:rFonts w:cs="Times New Roman"/>
                      <w:color w:val="auto"/>
                      <w:szCs w:val="24"/>
                      <w:lang w:eastAsia="ru-RU" w:bidi="ar-SA"/>
                    </w:rPr>
                    <w:t>за 1 день</w:t>
                  </w:r>
                </w:p>
              </w:tc>
              <w:tc>
                <w:tcPr>
                  <w:tcW w:w="1430"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Оплата труда (всего)</w:t>
                  </w:r>
                </w:p>
              </w:tc>
            </w:tr>
            <w:tr>
              <w:trPr>
                <w:tblHeader w:val="true"/>
              </w:trPr>
              <w:tc>
                <w:tcPr>
                  <w:tcW w:w="561"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r>
                </w:p>
              </w:tc>
              <w:tc>
                <w:tcPr>
                  <w:tcW w:w="2197" w:type="dxa"/>
                  <w:vMerge w:val="continue"/>
                  <w:tcBorders>
                    <w:top w:val="single" w:sz="6" w:space="0" w:color="000000"/>
                    <w:left w:val="single" w:sz="2"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r>
                </w:p>
              </w:tc>
              <w:tc>
                <w:tcPr>
                  <w:tcW w:w="1180"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количество</w:t>
                  </w:r>
                </w:p>
              </w:tc>
              <w:tc>
                <w:tcPr>
                  <w:tcW w:w="1175"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должность</w:t>
                  </w:r>
                </w:p>
              </w:tc>
              <w:tc>
                <w:tcPr>
                  <w:tcW w:w="1406"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r>
                </w:p>
              </w:tc>
              <w:tc>
                <w:tcPr>
                  <w:tcW w:w="1403"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r>
                </w:p>
              </w:tc>
              <w:tc>
                <w:tcPr>
                  <w:tcW w:w="1430"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r>
                </w:p>
              </w:tc>
            </w:tr>
            <w:tr>
              <w:trPr>
                <w:tblHeader w:val="true"/>
              </w:trPr>
              <w:tc>
                <w:tcPr>
                  <w:tcW w:w="561"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1</w:t>
                  </w:r>
                </w:p>
              </w:tc>
              <w:tc>
                <w:tcPr>
                  <w:tcW w:w="2197"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2</w:t>
                  </w:r>
                </w:p>
              </w:tc>
              <w:tc>
                <w:tcPr>
                  <w:tcW w:w="1180"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3</w:t>
                  </w:r>
                </w:p>
              </w:tc>
              <w:tc>
                <w:tcPr>
                  <w:tcW w:w="1175"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4</w:t>
                  </w:r>
                </w:p>
              </w:tc>
              <w:tc>
                <w:tcPr>
                  <w:tcW w:w="1406"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5</w:t>
                  </w:r>
                </w:p>
              </w:tc>
              <w:tc>
                <w:tcPr>
                  <w:tcW w:w="1403"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6</w:t>
                  </w:r>
                </w:p>
              </w:tc>
              <w:tc>
                <w:tcPr>
                  <w:tcW w:w="1430"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napToGrid w:val="true"/>
                    <w:ind w:hanging="32"/>
                    <w:jc w:val="center"/>
                    <w:rPr>
                      <w:rFonts w:cs="Times New Roman"/>
                      <w:color w:val="auto"/>
                      <w:szCs w:val="24"/>
                      <w:lang w:eastAsia="ru-RU" w:bidi="ar-SA"/>
                    </w:rPr>
                  </w:pPr>
                  <w:r>
                    <w:rPr>
                      <w:rFonts w:cs="Times New Roman"/>
                      <w:color w:val="auto"/>
                      <w:szCs w:val="24"/>
                      <w:lang w:eastAsia="ru-RU" w:bidi="ar-SA"/>
                    </w:rPr>
                    <w:t>7</w:t>
                  </w:r>
                </w:p>
              </w:tc>
            </w:tr>
            <w:tr>
              <w:trPr/>
              <w:tc>
                <w:tcPr>
                  <w:tcW w:w="561"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2197"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180"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175"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406"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403"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430"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r>
            <w:tr>
              <w:trPr/>
              <w:tc>
                <w:tcPr>
                  <w:tcW w:w="561"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2197"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180"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175"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406"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403"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c>
                <w:tcPr>
                  <w:tcW w:w="1430"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napToGrid w:val="true"/>
                    <w:ind w:hanging="32"/>
                    <w:jc w:val="left"/>
                    <w:rPr>
                      <w:rFonts w:cs="Times New Roman"/>
                      <w:color w:val="auto"/>
                      <w:szCs w:val="24"/>
                      <w:lang w:eastAsia="ru-RU" w:bidi="ar-SA"/>
                    </w:rPr>
                  </w:pPr>
                  <w:r>
                    <w:rPr>
                      <w:rFonts w:cs="Times New Roman"/>
                      <w:color w:val="auto"/>
                      <w:szCs w:val="24"/>
                      <w:lang w:eastAsia="ru-RU" w:bidi="ar-SA"/>
                    </w:rPr>
                    <w:t> </w:t>
                  </w:r>
                </w:p>
              </w:tc>
            </w:tr>
          </w:tbl>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Итого заработной платы, в руб. __________________________________________________________</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2. Расчет стоимости выполнения работ</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2.1 Накладные расходы, %_______________________________________________________________</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2.2 Себестоимость работ ________________________________________________________________</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2.3 Уровень рентабельности, % __________________________________________________________</w:t>
            </w:r>
          </w:p>
          <w:p>
            <w:pPr>
              <w:pStyle w:val="Normal"/>
              <w:widowControl w:val="false"/>
              <w:snapToGrid w:val="true"/>
              <w:ind w:hanging="0"/>
              <w:jc w:val="left"/>
              <w:rPr>
                <w:rFonts w:cs="Times New Roman"/>
                <w:color w:val="auto"/>
                <w:szCs w:val="24"/>
                <w:lang w:eastAsia="ru-RU" w:bidi="ar-SA"/>
              </w:rPr>
            </w:pPr>
            <w:r>
              <w:rPr>
                <w:rFonts w:cs="Times New Roman"/>
                <w:b/>
                <w:bCs/>
                <w:color w:val="auto"/>
                <w:szCs w:val="24"/>
                <w:lang w:eastAsia="ru-RU" w:bidi="ar-SA"/>
              </w:rPr>
              <w:t xml:space="preserve">Итого </w:t>
            </w:r>
            <w:r>
              <w:rPr>
                <w:rFonts w:cs="Times New Roman"/>
                <w:color w:val="auto"/>
                <w:szCs w:val="24"/>
                <w:lang w:eastAsia="ru-RU" w:bidi="ar-SA"/>
              </w:rPr>
              <w:t>______________________________________________________________</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3. Командировочные расходы (по расчету)______________________________________________</w:t>
            </w:r>
          </w:p>
          <w:p>
            <w:pPr>
              <w:pStyle w:val="Normal"/>
              <w:widowControl w:val="false"/>
              <w:snapToGrid w:val="true"/>
              <w:ind w:hanging="0"/>
              <w:jc w:val="left"/>
              <w:rPr>
                <w:rFonts w:cs="Times New Roman"/>
                <w:color w:val="auto"/>
                <w:szCs w:val="24"/>
                <w:lang w:eastAsia="ru-RU" w:bidi="ar-SA"/>
              </w:rPr>
            </w:pPr>
            <w:r>
              <w:rPr>
                <w:rFonts w:cs="Times New Roman"/>
                <w:b/>
                <w:color w:val="auto"/>
                <w:szCs w:val="24"/>
                <w:lang w:eastAsia="ru-RU" w:bidi="ar-SA"/>
              </w:rPr>
              <w:t>Всего (руб.)</w:t>
            </w:r>
            <w:r>
              <w:rPr>
                <w:rFonts w:cs="Times New Roman"/>
                <w:color w:val="auto"/>
                <w:szCs w:val="24"/>
                <w:lang w:eastAsia="ru-RU" w:bidi="ar-SA"/>
              </w:rPr>
              <w:t xml:space="preserve"> ______________________________________________________________</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____________________________________________________________________________</w:t>
            </w:r>
          </w:p>
          <w:p>
            <w:pPr>
              <w:pStyle w:val="Normal"/>
              <w:widowControl w:val="false"/>
              <w:snapToGrid w:val="true"/>
              <w:ind w:firstLine="2070"/>
              <w:jc w:val="center"/>
              <w:rPr>
                <w:rFonts w:cs="Times New Roman"/>
                <w:color w:val="auto"/>
                <w:szCs w:val="24"/>
                <w:lang w:eastAsia="ru-RU" w:bidi="ar-SA"/>
              </w:rPr>
            </w:pPr>
            <w:r>
              <w:rPr>
                <w:rFonts w:cs="Times New Roman"/>
                <w:color w:val="auto"/>
                <w:szCs w:val="24"/>
                <w:lang w:eastAsia="ru-RU" w:bidi="ar-SA"/>
              </w:rPr>
              <w:t>(сумма прописью)</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Составил:________/должность,организация/_______/подпись/___________/расшифровка подписи/</w:t>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r>
          </w:p>
          <w:p>
            <w:pPr>
              <w:pStyle w:val="Normal"/>
              <w:widowControl w:val="false"/>
              <w:snapToGrid w:val="true"/>
              <w:ind w:hanging="0"/>
              <w:jc w:val="left"/>
              <w:rPr>
                <w:rFonts w:cs="Times New Roman"/>
                <w:color w:val="auto"/>
                <w:szCs w:val="24"/>
                <w:lang w:eastAsia="ru-RU" w:bidi="ar-SA"/>
              </w:rPr>
            </w:pPr>
            <w:r>
              <w:rPr>
                <w:rFonts w:cs="Times New Roman"/>
                <w:color w:val="auto"/>
                <w:szCs w:val="24"/>
                <w:lang w:eastAsia="ru-RU" w:bidi="ar-SA"/>
              </w:rPr>
              <w:t>Проверил:_________/должность, организация/_________/подпись/_________/расшифровка подписи/</w:t>
            </w:r>
          </w:p>
        </w:tc>
      </w:tr>
    </w:tbl>
    <w:p>
      <w:pPr>
        <w:pStyle w:val="Normal"/>
        <w:ind w:hanging="0"/>
        <w:rPr>
          <w:sz w:val="22"/>
        </w:rPr>
      </w:pPr>
      <w:r>
        <w:rPr/>
      </w:r>
    </w:p>
    <w:sectPr>
      <w:headerReference w:type="default" r:id="rId9"/>
      <w:footerReference w:type="default" r:id="rId10"/>
      <w:footerReference w:type="first" r:id="rId11"/>
      <w:footnotePr>
        <w:numFmt w:val="decimal"/>
        <w:numRestart w:val="eachPage"/>
      </w:footnotePr>
      <w:type w:val="nextPage"/>
      <w:pgSz w:w="11906" w:h="16838"/>
      <w:pgMar w:left="1418" w:right="851"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egoe U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 w:name="Verdana">
    <w:charset w:val="01"/>
    <w:family w:val="roman"/>
    <w:pitch w:val="variable"/>
  </w:font>
  <w:font w:name="Garamond">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45571797"/>
    </w:sdtPr>
    <w:sdtContent>
      <w:p>
        <w:pPr>
          <w:pStyle w:val="Footer"/>
          <w:jc w:val="center"/>
          <w:rPr/>
        </w:pPr>
        <w:r>
          <w:rPr/>
          <w:fldChar w:fldCharType="begin"/>
        </w:r>
        <w:r>
          <w:rPr/>
          <w:instrText xml:space="preserve"> PAGE </w:instrText>
        </w:r>
        <w:r>
          <w:rPr/>
          <w:fldChar w:fldCharType="separate"/>
        </w:r>
        <w:r>
          <w:rPr/>
          <w:t>1</w:t>
        </w:r>
        <w:r>
          <w:rPr/>
          <w:fldChar w:fldCharType="end"/>
        </w:r>
      </w:p>
      <w:p>
        <w:pPr>
          <w:pStyle w:val="Footer"/>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20343767"/>
    </w:sdtPr>
    <w:sdtContent>
      <w:p>
        <w:pPr>
          <w:pStyle w:val="Footer"/>
          <w:jc w:val="center"/>
          <w:rPr/>
        </w:pPr>
        <w:r>
          <w:rPr/>
          <w:fldChar w:fldCharType="begin"/>
        </w:r>
        <w:r>
          <w:rPr/>
          <w:instrText xml:space="preserve"> PAGE </w:instrText>
        </w:r>
        <w:r>
          <w:rPr/>
          <w:fldChar w:fldCharType="separate"/>
        </w:r>
        <w:r>
          <w:rPr/>
          <w:t>7</w:t>
        </w:r>
        <w:r>
          <w:rPr/>
          <w:fldChar w:fldCharType="end"/>
        </w:r>
      </w:p>
      <w:p>
        <w:pPr>
          <w:pStyle w:val="Footer"/>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23460103"/>
    </w:sdtPr>
    <w:sdtContent>
      <w:p>
        <w:pPr>
          <w:pStyle w:val="Footer"/>
          <w:jc w:val="center"/>
          <w:rPr/>
        </w:pPr>
        <w:r>
          <w:rPr/>
          <w:fldChar w:fldCharType="begin"/>
        </w:r>
        <w:r>
          <w:rPr/>
          <w:instrText xml:space="preserve"> PAGE </w:instrText>
        </w:r>
        <w:r>
          <w:rPr/>
          <w:fldChar w:fldCharType="separate"/>
        </w:r>
        <w:r>
          <w:rPr/>
          <w:t>11</w:t>
        </w:r>
        <w:r>
          <w:rPr/>
          <w:fldChar w:fldCharType="end"/>
        </w:r>
      </w:p>
      <w:p>
        <w:pPr>
          <w:pStyle w:val="Footer"/>
          <w:rPr/>
        </w:pPr>
        <w:r>
          <w:rPr/>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60220580"/>
    </w:sdtPr>
    <w:sdtContent>
      <w:p>
        <w:pPr>
          <w:pStyle w:val="Footer"/>
          <w:jc w:val="center"/>
          <w:rPr/>
        </w:pPr>
        <w:r>
          <w:rPr/>
          <w:fldChar w:fldCharType="begin"/>
        </w:r>
        <w:r>
          <w:rPr/>
          <w:instrText xml:space="preserve"> PAGE </w:instrText>
        </w:r>
        <w:r>
          <w:rPr/>
          <w:fldChar w:fldCharType="separate"/>
        </w:r>
        <w:r>
          <w:rPr/>
          <w:t>14</w:t>
        </w:r>
        <w:r>
          <w:rPr/>
          <w:fldChar w:fldCharType="end"/>
        </w:r>
      </w:p>
      <w:p>
        <w:pPr>
          <w:pStyle w:val="Footer"/>
          <w:rPr/>
        </w:pPr>
        <w:r>
          <w:rPr/>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2"/>
        </w:rPr>
        <w:footnoteRef/>
      </w:r>
      <w:r>
        <w:rPr/>
        <w:t xml:space="preserve"> </w:t>
      </w:r>
      <w:r>
        <w:rPr/>
        <w:t xml:space="preserve">Пункт 25 учитывается при указании соответствующих услуг, предоставляемых ПАО «РусГидро» подрядным организациям в разделе технических требований «Иные условия поставки товаров, выполнения работ, оказания услуг».  </w:t>
      </w:r>
    </w:p>
  </w:footnote>
  <w:footnote w:id="3">
    <w:p>
      <w:pPr>
        <w:pStyle w:val="FootnoteText"/>
        <w:rPr/>
      </w:pPr>
      <w:r>
        <w:rPr>
          <w:rStyle w:val="Style2"/>
        </w:rPr>
        <w:footnoteRef/>
      </w:r>
      <w:r>
        <w:rPr/>
        <w:t xml:space="preserve"> </w:t>
      </w:r>
      <w:r>
        <w:rPr/>
        <w:t xml:space="preserve">Стоимость электроэнергии определять в соответствии с рекомендациями, изложенными по ссылке </w:t>
      </w:r>
      <w:hyperlink r:id="rId1">
        <w:r>
          <w:rPr>
            <w:rStyle w:val="Hyperlink"/>
          </w:rPr>
          <w:t>http://grandsmeta82.ru/znaj-kak/grand-smeta-baza-znanij/109-raschet-zatrat-na-energonositeli-elektroenergiyu-toplivo-i-pr-v-grand-smete.html</w:t>
        </w:r>
      </w:hyperlink>
      <w:r>
        <w:rPr/>
        <w:t xml:space="preserve"> </w:t>
      </w:r>
    </w:p>
    <w:p>
      <w:pPr>
        <w:pStyle w:val="FootnoteText"/>
        <w:rPr/>
      </w:pPr>
      <w:r>
        <w:rPr/>
      </w:r>
    </w:p>
  </w:footnote>
  <w:footnote w:id="4">
    <w:p>
      <w:pPr>
        <w:pStyle w:val="FootnoteText"/>
        <w:rPr/>
      </w:pPr>
      <w:r>
        <w:rPr>
          <w:rStyle w:val="Style2"/>
        </w:rPr>
        <w:footnoteRef/>
      </w:r>
      <w:r>
        <w:rPr/>
        <w:t xml:space="preserve"> </w:t>
      </w:r>
      <w:r>
        <w:rPr/>
        <w:t>Если в организации функции главного бухгалтера выполняет генеральный директор–ставится только его виза.</w:t>
      </w:r>
    </w:p>
    <w:p>
      <w:pPr>
        <w:pStyle w:val="FootnoteText"/>
        <w:rPr/>
      </w:pPr>
      <w:r>
        <w:rPr/>
        <w:t>Возможно предоставление иной формы справки в соответствии с внутренним документооборотом организации.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jc w:val="right"/>
      <w:rPr>
        <w:sz w:val="20"/>
        <w:szCs w:val="20"/>
      </w:rPr>
    </w:pPr>
    <w:r>
      <w:rPr>
        <w:sz w:val="20"/>
        <w:szCs w:val="20"/>
      </w:rPr>
      <w:t>ТФД 1</w:t>
    </w:r>
    <w:r>
      <w:rPr>
        <w:sz w:val="20"/>
        <w:szCs w:val="20"/>
        <w:lang w:val="en-US"/>
      </w:rPr>
      <w:t>2</w:t>
    </w:r>
    <w:r>
      <w:rPr>
        <w:sz w:val="20"/>
        <w:szCs w:val="20"/>
      </w:rPr>
      <w:t>.1.</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suff w:val="space"/>
      <w:lvlText w:val="%1."/>
      <w:lvlJc w:val="left"/>
      <w:pPr>
        <w:tabs>
          <w:tab w:val="num" w:pos="0"/>
        </w:tabs>
        <w:ind w:left="0" w:hanging="0"/>
      </w:pPr>
      <w:rPr>
        <w:rFonts w:ascii="Times New Roman" w:hAnsi="Times New Roman"/>
      </w:rPr>
    </w:lvl>
    <w:lvl w:ilvl="1">
      <w:start w:val="1"/>
      <w:numFmt w:val="decimal"/>
      <w:lvlText w:val="%1.%2."/>
      <w:lvlJc w:val="left"/>
      <w:pPr>
        <w:tabs>
          <w:tab w:val="num" w:pos="454"/>
        </w:tabs>
        <w:ind w:left="0" w:hanging="0"/>
      </w:pPr>
      <w:rPr>
        <w:i w:val="false"/>
        <w:b w:val="false"/>
      </w:rPr>
    </w:lvl>
    <w:lvl w:ilvl="2">
      <w:start w:val="1"/>
      <w:numFmt w:val="decimal"/>
      <w:lvlText w:val="%1.%2.%3."/>
      <w:lvlJc w:val="left"/>
      <w:pPr>
        <w:tabs>
          <w:tab w:val="num" w:pos="737"/>
        </w:tabs>
        <w:ind w:left="0" w:hanging="0"/>
      </w:pPr>
      <w:rPr>
        <w:b w:val="false"/>
      </w:rPr>
    </w:lvl>
    <w:lvl w:ilvl="3">
      <w:start w:val="1"/>
      <w:numFmt w:val="decimal"/>
      <w:lvlText w:val="%1.%2.%3.%4."/>
      <w:lvlJc w:val="left"/>
      <w:pPr>
        <w:tabs>
          <w:tab w:val="num" w:pos="1021"/>
        </w:tabs>
        <w:ind w:left="0" w:hanging="0"/>
      </w:pPr>
      <w:rPr/>
    </w:lvl>
    <w:lvl w:ilvl="4">
      <w:start w:val="1"/>
      <w:numFmt w:val="decimal"/>
      <w:lvlText w:val="%1.%2.%3.%4.%5"/>
      <w:lvlJc w:val="left"/>
      <w:pPr>
        <w:tabs>
          <w:tab w:val="num" w:pos="0"/>
        </w:tabs>
        <w:ind w:left="0" w:hanging="0"/>
      </w:pPr>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2">
    <w:lvl w:ilvl="0">
      <w:start w:val="1"/>
      <w:numFmt w:val="decimal"/>
      <w:lvlText w:val="%1."/>
      <w:lvlJc w:val="center"/>
      <w:pPr>
        <w:tabs>
          <w:tab w:val="num" w:pos="567"/>
        </w:tabs>
        <w:ind w:left="567" w:hanging="279"/>
      </w:pPr>
      <w:rPr/>
    </w:lvl>
    <w:lvl w:ilvl="1">
      <w:start w:val="1"/>
      <w:numFmt w:val="decimal"/>
      <w:lvlText w:val="%1.%2."/>
      <w:lvlJc w:val="left"/>
      <w:pPr>
        <w:tabs>
          <w:tab w:val="num" w:pos="1844"/>
        </w:tabs>
        <w:ind w:left="1844" w:hanging="567"/>
      </w:pPr>
      <w:rPr>
        <w:u w:val="none"/>
      </w:rPr>
    </w:lvl>
    <w:lvl w:ilvl="2">
      <w:start w:val="1"/>
      <w:numFmt w:val="decimal"/>
      <w:lvlText w:val="%1.%2.%3."/>
      <w:lvlJc w:val="left"/>
      <w:pPr>
        <w:tabs>
          <w:tab w:val="num" w:pos="993"/>
        </w:tabs>
        <w:ind w:left="993" w:hanging="851"/>
      </w:pPr>
      <w:rPr>
        <w:dstrike w:val="false"/>
        <w:strike w:val="false"/>
      </w:rPr>
    </w:lvl>
    <w:lvl w:ilvl="3">
      <w:start w:val="1"/>
      <w:numFmt w:val="decimal"/>
      <w:lvlText w:val="%1.%2.%3.%4."/>
      <w:lvlJc w:val="left"/>
      <w:pPr>
        <w:tabs>
          <w:tab w:val="num" w:pos="1277"/>
        </w:tabs>
        <w:ind w:left="1277" w:hanging="567"/>
      </w:pPr>
      <w:rPr/>
    </w:lvl>
    <w:lvl w:ilvl="4">
      <w:start w:val="1"/>
      <w:numFmt w:val="lowerLetter"/>
      <w:lvlText w:val="%5)"/>
      <w:lvlJc w:val="left"/>
      <w:pPr>
        <w:tabs>
          <w:tab w:val="num" w:pos="1718"/>
        </w:tabs>
        <w:ind w:left="1718" w:hanging="1008"/>
      </w:pPr>
      <w:rPr/>
    </w:lvl>
    <w:lvl w:ilvl="5">
      <w:start w:val="1"/>
      <w:numFmt w:val="decimal"/>
      <w:lvlText w:val="%1.%2.%3.%4.%5.%6."/>
      <w:lvlJc w:val="left"/>
      <w:pPr>
        <w:tabs>
          <w:tab w:val="num" w:pos="2592"/>
        </w:tabs>
        <w:ind w:left="2592" w:hanging="1152"/>
      </w:pPr>
      <w:rPr/>
    </w:lvl>
    <w:lvl w:ilvl="6">
      <w:start w:val="1"/>
      <w:numFmt w:val="decimal"/>
      <w:lvlText w:val="%1.%2.%3.%4.%5.%6.%7."/>
      <w:lvlJc w:val="left"/>
      <w:pPr>
        <w:tabs>
          <w:tab w:val="num" w:pos="2736"/>
        </w:tabs>
        <w:ind w:left="2736" w:hanging="1296"/>
      </w:pPr>
      <w:rPr/>
    </w:lvl>
    <w:lvl w:ilvl="7">
      <w:start w:val="1"/>
      <w:numFmt w:val="decimal"/>
      <w:lvlText w:val="%1.%2.%3.%4.%5.%6.%7.%8."/>
      <w:lvlJc w:val="left"/>
      <w:pPr>
        <w:tabs>
          <w:tab w:val="num" w:pos="2880"/>
        </w:tabs>
        <w:ind w:left="2880" w:hanging="1440"/>
      </w:pPr>
      <w:rPr/>
    </w:lvl>
    <w:lvl w:ilvl="8">
      <w:start w:val="1"/>
      <w:numFmt w:val="decimal"/>
      <w:lvlText w:val="%1.%2.%3.%4.%5.%6.%7.%8.%9."/>
      <w:lvlJc w:val="left"/>
      <w:pPr>
        <w:tabs>
          <w:tab w:val="num" w:pos="3024"/>
        </w:tabs>
        <w:ind w:left="3024" w:hanging="1584"/>
      </w:pPr>
      <w:rPr/>
    </w:lvl>
  </w:abstractNum>
  <w:abstractNum w:abstractNumId="3">
    <w:lvl w:ilvl="0">
      <w:start w:val="1"/>
      <w:numFmt w:val="decimal"/>
      <w:lvlText w:val="%1."/>
      <w:lvlJc w:val="left"/>
      <w:pPr>
        <w:tabs>
          <w:tab w:val="num" w:pos="360"/>
        </w:tabs>
        <w:ind w:left="360" w:hanging="360"/>
      </w:pPr>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440"/>
        </w:tabs>
        <w:ind w:left="1224" w:hanging="504"/>
      </w:pPr>
      <w:rPr>
        <w:i w:val="false"/>
        <w:rFonts w:ascii="Garamond" w:hAnsi="Garamond"/>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5">
    <w:lvl w:ilvl="0">
      <w:start w:val="1"/>
      <w:numFmt w:val="decimal"/>
      <w:lvlText w:val="%1."/>
      <w:lvlJc w:val="left"/>
      <w:pPr>
        <w:tabs>
          <w:tab w:val="num" w:pos="0"/>
        </w:tabs>
        <w:ind w:left="927" w:hanging="360"/>
      </w:pPr>
      <w:rPr>
        <w:u w:val="non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7">
    <w:lvl w:ilvl="0">
      <w:start w:val="1"/>
      <w:numFmt w:val="bullet"/>
      <w:lvlText w:val=""/>
      <w:lvlJc w:val="left"/>
      <w:pPr>
        <w:tabs>
          <w:tab w:val="num" w:pos="0"/>
        </w:tabs>
        <w:ind w:left="1211" w:hanging="360"/>
      </w:pPr>
      <w:rPr>
        <w:rFonts w:ascii="Symbol" w:hAnsi="Symbol" w:cs="Symbol" w:hint="default"/>
        <w:color w:val="000000"/>
      </w:rPr>
    </w:lvl>
    <w:lvl w:ilvl="1">
      <w:start w:val="1"/>
      <w:numFmt w:val="bullet"/>
      <w:lvlText w:val="o"/>
      <w:lvlJc w:val="left"/>
      <w:pPr>
        <w:tabs>
          <w:tab w:val="num" w:pos="0"/>
        </w:tabs>
        <w:ind w:left="2367" w:hanging="360"/>
      </w:pPr>
      <w:rPr>
        <w:rFonts w:ascii="Courier New" w:hAnsi="Courier New" w:cs="Courier New" w:hint="default"/>
      </w:rPr>
    </w:lvl>
    <w:lvl w:ilvl="2">
      <w:start w:val="1"/>
      <w:numFmt w:val="bullet"/>
      <w:lvlText w:val=""/>
      <w:lvlJc w:val="left"/>
      <w:pPr>
        <w:tabs>
          <w:tab w:val="num" w:pos="0"/>
        </w:tabs>
        <w:ind w:left="3087" w:hanging="360"/>
      </w:pPr>
      <w:rPr>
        <w:rFonts w:ascii="Wingdings" w:hAnsi="Wingdings" w:cs="Wingdings" w:hint="default"/>
      </w:rPr>
    </w:lvl>
    <w:lvl w:ilvl="3">
      <w:start w:val="1"/>
      <w:numFmt w:val="bullet"/>
      <w:lvlText w:val=""/>
      <w:lvlJc w:val="left"/>
      <w:pPr>
        <w:tabs>
          <w:tab w:val="num" w:pos="0"/>
        </w:tabs>
        <w:ind w:left="3807" w:hanging="360"/>
      </w:pPr>
      <w:rPr>
        <w:rFonts w:ascii="Symbol" w:hAnsi="Symbol" w:cs="Symbol" w:hint="default"/>
      </w:rPr>
    </w:lvl>
    <w:lvl w:ilvl="4">
      <w:start w:val="1"/>
      <w:numFmt w:val="bullet"/>
      <w:lvlText w:val="o"/>
      <w:lvlJc w:val="left"/>
      <w:pPr>
        <w:tabs>
          <w:tab w:val="num" w:pos="0"/>
        </w:tabs>
        <w:ind w:left="4527" w:hanging="360"/>
      </w:pPr>
      <w:rPr>
        <w:rFonts w:ascii="Courier New" w:hAnsi="Courier New" w:cs="Courier New" w:hint="default"/>
      </w:rPr>
    </w:lvl>
    <w:lvl w:ilvl="5">
      <w:start w:val="1"/>
      <w:numFmt w:val="bullet"/>
      <w:lvlText w:val=""/>
      <w:lvlJc w:val="left"/>
      <w:pPr>
        <w:tabs>
          <w:tab w:val="num" w:pos="0"/>
        </w:tabs>
        <w:ind w:left="5247" w:hanging="360"/>
      </w:pPr>
      <w:rPr>
        <w:rFonts w:ascii="Wingdings" w:hAnsi="Wingdings" w:cs="Wingdings" w:hint="default"/>
      </w:rPr>
    </w:lvl>
    <w:lvl w:ilvl="6">
      <w:start w:val="1"/>
      <w:numFmt w:val="bullet"/>
      <w:lvlText w:val=""/>
      <w:lvlJc w:val="left"/>
      <w:pPr>
        <w:tabs>
          <w:tab w:val="num" w:pos="0"/>
        </w:tabs>
        <w:ind w:left="5967" w:hanging="360"/>
      </w:pPr>
      <w:rPr>
        <w:rFonts w:ascii="Symbol" w:hAnsi="Symbol" w:cs="Symbol" w:hint="default"/>
      </w:rPr>
    </w:lvl>
    <w:lvl w:ilvl="7">
      <w:start w:val="1"/>
      <w:numFmt w:val="bullet"/>
      <w:lvlText w:val="o"/>
      <w:lvlJc w:val="left"/>
      <w:pPr>
        <w:tabs>
          <w:tab w:val="num" w:pos="0"/>
        </w:tabs>
        <w:ind w:left="6687" w:hanging="360"/>
      </w:pPr>
      <w:rPr>
        <w:rFonts w:ascii="Courier New" w:hAnsi="Courier New" w:cs="Courier New" w:hint="default"/>
      </w:rPr>
    </w:lvl>
    <w:lvl w:ilvl="8">
      <w:start w:val="1"/>
      <w:numFmt w:val="bullet"/>
      <w:lvlText w:val=""/>
      <w:lvlJc w:val="left"/>
      <w:pPr>
        <w:tabs>
          <w:tab w:val="num" w:pos="0"/>
        </w:tabs>
        <w:ind w:left="7407" w:hanging="360"/>
      </w:pPr>
      <w:rPr>
        <w:rFonts w:ascii="Wingdings" w:hAnsi="Wingdings" w:cs="Wingdings" w:hint="default"/>
      </w:rPr>
    </w:lvl>
  </w:abstractNum>
  <w:abstractNum w:abstractNumId="8">
    <w:lvl w:ilvl="0">
      <w:start w:val="1"/>
      <w:numFmt w:val="decimal"/>
      <w:lvlText w:val="%1."/>
      <w:lvlJc w:val="left"/>
      <w:pPr>
        <w:tabs>
          <w:tab w:val="num" w:pos="0"/>
        </w:tabs>
        <w:ind w:left="2912" w:hanging="360"/>
      </w:pPr>
      <w:rPr>
        <w:dstrike w:val="false"/>
        <w:strike w:val="false"/>
        <w:sz w:val="24"/>
        <w:i w:val="false"/>
        <w:b w:val="false"/>
        <w:szCs w:val="24"/>
        <w:color w:val="auto"/>
      </w:rPr>
    </w:lvl>
    <w:lvl w:ilvl="1">
      <w:start w:val="1"/>
      <w:numFmt w:val="decimal"/>
      <w:lvlText w:val="%1.%2."/>
      <w:lvlJc w:val="left"/>
      <w:pPr>
        <w:tabs>
          <w:tab w:val="num" w:pos="0"/>
        </w:tabs>
        <w:ind w:left="952" w:hanging="450"/>
      </w:pPr>
      <w:rPr>
        <w:sz w:val="24"/>
        <w:b w:val="false"/>
        <w:szCs w:val="24"/>
        <w:color w:val="auto"/>
      </w:rPr>
    </w:lvl>
    <w:lvl w:ilvl="2">
      <w:start w:val="1"/>
      <w:numFmt w:val="decimal"/>
      <w:lvlText w:val="%1.%2.%3."/>
      <w:lvlJc w:val="left"/>
      <w:pPr>
        <w:tabs>
          <w:tab w:val="num" w:pos="0"/>
        </w:tabs>
        <w:ind w:left="1582" w:hanging="720"/>
      </w:pPr>
      <w:rPr>
        <w:sz w:val="24"/>
        <w:szCs w:val="24"/>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9">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10"/>
  <w:defaultTabStop w:val="708"/>
  <w:autoHyphenation w:val="true"/>
  <w:footnotePr>
    <w:numFmt w:val="decimal"/>
    <w:numRestart w:val="eachPage"/>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f54ca"/>
    <w:pPr>
      <w:widowControl w:val="false"/>
      <w:bidi w:val="0"/>
      <w:snapToGrid w:val="false"/>
      <w:spacing w:lineRule="auto" w:line="240" w:before="0" w:after="0"/>
      <w:ind w:firstLine="397"/>
      <w:jc w:val="both"/>
    </w:pPr>
    <w:rPr>
      <w:rFonts w:ascii="Times New Roman" w:hAnsi="Times New Roman" w:eastAsia="Times New Roman" w:cs="Calibri"/>
      <w:color w:val="000000"/>
      <w:kern w:val="0"/>
      <w:sz w:val="24"/>
      <w:szCs w:val="22"/>
      <w:lang w:bidi="en-US" w:val="ru-RU" w:eastAsia="en-US"/>
    </w:rPr>
  </w:style>
  <w:style w:type="paragraph" w:styleId="Heading1">
    <w:name w:val="Heading 1"/>
    <w:basedOn w:val="BodyText"/>
    <w:next w:val="Normal"/>
    <w:link w:val="1"/>
    <w:uiPriority w:val="9"/>
    <w:qFormat/>
    <w:rsid w:val="007f54ca"/>
    <w:pPr>
      <w:keepNext w:val="true"/>
      <w:keepLines/>
      <w:numPr>
        <w:ilvl w:val="0"/>
        <w:numId w:val="1"/>
      </w:numPr>
      <w:spacing w:lineRule="auto" w:line="360" w:before="360" w:after="240"/>
      <w:jc w:val="center"/>
      <w:outlineLvl w:val="0"/>
    </w:pPr>
    <w:rPr>
      <w:b/>
      <w:bCs/>
      <w:sz w:val="28"/>
      <w:szCs w:val="24"/>
      <w:lang w:eastAsia="ar-SA" w:bidi="ar-SA"/>
    </w:rPr>
  </w:style>
  <w:style w:type="paragraph" w:styleId="Heading2">
    <w:name w:val="Heading 2"/>
    <w:basedOn w:val="Normal"/>
    <w:next w:val="Normal"/>
    <w:link w:val="2"/>
    <w:uiPriority w:val="9"/>
    <w:unhideWhenUsed/>
    <w:qFormat/>
    <w:rsid w:val="007d6b9c"/>
    <w:pPr>
      <w:keepNext w:val="true"/>
      <w:keepLines/>
      <w:widowControl/>
      <w:snapToGrid w:val="true"/>
      <w:spacing w:lineRule="auto" w:line="276" w:before="200" w:after="0"/>
      <w:ind w:hanging="0"/>
      <w:jc w:val="left"/>
      <w:outlineLvl w:val="1"/>
    </w:pPr>
    <w:rPr>
      <w:rFonts w:ascii="Cambria" w:hAnsi="Cambria" w:cs="Times New Roman"/>
      <w:b/>
      <w:bCs/>
      <w:color w:val="4F81BD"/>
      <w:sz w:val="26"/>
      <w:szCs w:val="26"/>
      <w:lang w:eastAsia="ru-RU" w:bidi="ar-SA"/>
    </w:rPr>
  </w:style>
  <w:style w:type="paragraph" w:styleId="Heading3">
    <w:name w:val="Heading 3"/>
    <w:basedOn w:val="Normal"/>
    <w:next w:val="Normal"/>
    <w:link w:val="31"/>
    <w:uiPriority w:val="9"/>
    <w:qFormat/>
    <w:rsid w:val="007d6b9c"/>
    <w:pPr>
      <w:keepNext w:val="true"/>
      <w:keepLines/>
      <w:widowControl/>
      <w:snapToGrid w:val="true"/>
      <w:spacing w:before="200" w:after="0"/>
      <w:ind w:hanging="0"/>
      <w:jc w:val="left"/>
      <w:outlineLvl w:val="2"/>
    </w:pPr>
    <w:rPr>
      <w:rFonts w:ascii="Cambria" w:hAnsi="Cambria" w:cs="Times New Roman"/>
      <w:b/>
      <w:bCs/>
      <w:color w:val="4F81BD"/>
      <w:sz w:val="20"/>
      <w:szCs w:val="20"/>
      <w:lang w:eastAsia="ru-RU" w:bidi="ar-SA"/>
    </w:rPr>
  </w:style>
  <w:style w:type="paragraph" w:styleId="Heading4">
    <w:name w:val="Heading 4"/>
    <w:basedOn w:val="Normal"/>
    <w:next w:val="Normal"/>
    <w:link w:val="4"/>
    <w:uiPriority w:val="9"/>
    <w:qFormat/>
    <w:rsid w:val="007d6b9c"/>
    <w:pPr>
      <w:keepNext w:val="true"/>
      <w:keepLines/>
      <w:widowControl/>
      <w:snapToGrid w:val="true"/>
      <w:spacing w:before="200" w:after="0"/>
      <w:ind w:hanging="0"/>
      <w:jc w:val="left"/>
      <w:outlineLvl w:val="3"/>
    </w:pPr>
    <w:rPr>
      <w:rFonts w:ascii="Cambria" w:hAnsi="Cambria" w:cs="Times New Roman"/>
      <w:b/>
      <w:bCs/>
      <w:i/>
      <w:iCs/>
      <w:color w:val="4F81BD"/>
      <w:sz w:val="20"/>
      <w:szCs w:val="20"/>
      <w:lang w:eastAsia="ru-RU" w:bidi="ar-SA"/>
    </w:rPr>
  </w:style>
  <w:style w:type="paragraph" w:styleId="Heading5">
    <w:name w:val="Heading 5"/>
    <w:basedOn w:val="Normal"/>
    <w:next w:val="Normal"/>
    <w:link w:val="5"/>
    <w:uiPriority w:val="9"/>
    <w:qFormat/>
    <w:rsid w:val="007d6b9c"/>
    <w:pPr>
      <w:keepNext w:val="true"/>
      <w:keepLines/>
      <w:widowControl/>
      <w:snapToGrid w:val="true"/>
      <w:spacing w:before="200" w:after="0"/>
      <w:ind w:hanging="0"/>
      <w:jc w:val="left"/>
      <w:outlineLvl w:val="4"/>
    </w:pPr>
    <w:rPr>
      <w:rFonts w:ascii="Cambria" w:hAnsi="Cambria" w:cs="Times New Roman"/>
      <w:color w:val="243F60"/>
      <w:sz w:val="20"/>
      <w:szCs w:val="20"/>
      <w:lang w:eastAsia="ru-RU" w:bidi="ar-SA"/>
    </w:rPr>
  </w:style>
  <w:style w:type="paragraph" w:styleId="Heading6">
    <w:name w:val="Heading 6"/>
    <w:basedOn w:val="Normal"/>
    <w:next w:val="Normal"/>
    <w:link w:val="6"/>
    <w:uiPriority w:val="9"/>
    <w:qFormat/>
    <w:rsid w:val="007d6b9c"/>
    <w:pPr>
      <w:keepNext w:val="true"/>
      <w:keepLines/>
      <w:widowControl/>
      <w:snapToGrid w:val="true"/>
      <w:spacing w:before="200" w:after="0"/>
      <w:ind w:hanging="0"/>
      <w:jc w:val="left"/>
      <w:outlineLvl w:val="5"/>
    </w:pPr>
    <w:rPr>
      <w:rFonts w:ascii="Cambria" w:hAnsi="Cambria" w:cs="Times New Roman"/>
      <w:i/>
      <w:iCs/>
      <w:color w:val="243F60"/>
      <w:sz w:val="20"/>
      <w:szCs w:val="20"/>
      <w:lang w:eastAsia="ru-RU" w:bidi="ar-SA"/>
    </w:rPr>
  </w:style>
  <w:style w:type="paragraph" w:styleId="Heading7">
    <w:name w:val="Heading 7"/>
    <w:basedOn w:val="Normal"/>
    <w:next w:val="Normal"/>
    <w:link w:val="7"/>
    <w:uiPriority w:val="9"/>
    <w:qFormat/>
    <w:rsid w:val="007d6b9c"/>
    <w:pPr>
      <w:keepNext w:val="true"/>
      <w:keepLines/>
      <w:widowControl/>
      <w:snapToGrid w:val="true"/>
      <w:spacing w:before="200" w:after="0"/>
      <w:ind w:hanging="0"/>
      <w:jc w:val="left"/>
      <w:outlineLvl w:val="6"/>
    </w:pPr>
    <w:rPr>
      <w:rFonts w:ascii="Cambria" w:hAnsi="Cambria" w:cs="Times New Roman"/>
      <w:i/>
      <w:iCs/>
      <w:color w:val="404040"/>
      <w:sz w:val="20"/>
      <w:szCs w:val="20"/>
      <w:lang w:eastAsia="ru-RU" w:bidi="ar-SA"/>
    </w:rPr>
  </w:style>
  <w:style w:type="paragraph" w:styleId="Heading8">
    <w:name w:val="Heading 8"/>
    <w:basedOn w:val="Normal"/>
    <w:next w:val="Normal"/>
    <w:link w:val="8"/>
    <w:uiPriority w:val="9"/>
    <w:qFormat/>
    <w:rsid w:val="007d6b9c"/>
    <w:pPr>
      <w:keepNext w:val="true"/>
      <w:keepLines/>
      <w:widowControl/>
      <w:snapToGrid w:val="true"/>
      <w:spacing w:before="200" w:after="0"/>
      <w:ind w:hanging="0"/>
      <w:jc w:val="left"/>
      <w:outlineLvl w:val="7"/>
    </w:pPr>
    <w:rPr>
      <w:rFonts w:ascii="Cambria" w:hAnsi="Cambria" w:cs="Times New Roman"/>
      <w:color w:val="4F81BD"/>
      <w:sz w:val="20"/>
      <w:szCs w:val="20"/>
      <w:lang w:eastAsia="ru-RU" w:bidi="ar-SA"/>
    </w:rPr>
  </w:style>
  <w:style w:type="paragraph" w:styleId="Heading9">
    <w:name w:val="Heading 9"/>
    <w:basedOn w:val="Normal"/>
    <w:next w:val="Normal"/>
    <w:link w:val="9"/>
    <w:uiPriority w:val="9"/>
    <w:qFormat/>
    <w:rsid w:val="007d6b9c"/>
    <w:pPr>
      <w:keepNext w:val="true"/>
      <w:keepLines/>
      <w:widowControl/>
      <w:snapToGrid w:val="true"/>
      <w:spacing w:before="200" w:after="0"/>
      <w:ind w:hanging="0"/>
      <w:jc w:val="left"/>
      <w:outlineLvl w:val="8"/>
    </w:pPr>
    <w:rPr>
      <w:rFonts w:ascii="Cambria" w:hAnsi="Cambria" w:cs="Times New Roman"/>
      <w:i/>
      <w:iCs/>
      <w:color w:val="404040"/>
      <w:sz w:val="20"/>
      <w:szCs w:val="20"/>
      <w:lang w:eastAsia="ru-RU" w:bidi="ar-SA"/>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uiPriority w:val="9"/>
    <w:qFormat/>
    <w:rsid w:val="007f54ca"/>
    <w:rPr>
      <w:rFonts w:ascii="Times New Roman" w:hAnsi="Times New Roman" w:eastAsia="Times New Roman" w:cs="Calibri"/>
      <w:b/>
      <w:bCs/>
      <w:color w:val="000000"/>
      <w:sz w:val="28"/>
      <w:szCs w:val="24"/>
      <w:lang w:eastAsia="ar-SA"/>
    </w:rPr>
  </w:style>
  <w:style w:type="character" w:styleId="Style" w:customStyle="1">
    <w:name w:val="Основной текст Знак"/>
    <w:basedOn w:val="DefaultParagraphFont"/>
    <w:qFormat/>
    <w:rsid w:val="007f54ca"/>
    <w:rPr>
      <w:rFonts w:ascii="Times New Roman" w:hAnsi="Times New Roman" w:eastAsia="Times New Roman" w:cs="Calibri"/>
      <w:color w:val="000000"/>
      <w:sz w:val="24"/>
      <w:lang w:bidi="en-US"/>
    </w:rPr>
  </w:style>
  <w:style w:type="character" w:styleId="Style1" w:customStyle="1">
    <w:name w:val="Текст сноски Знак"/>
    <w:basedOn w:val="DefaultParagraphFont"/>
    <w:uiPriority w:val="99"/>
    <w:qFormat/>
    <w:rsid w:val="007f54ca"/>
    <w:rPr>
      <w:rFonts w:ascii="Times New Roman" w:hAnsi="Times New Roman" w:eastAsia="Times New Roman" w:cs="Calibri"/>
      <w:color w:val="000000"/>
      <w:sz w:val="20"/>
      <w:szCs w:val="20"/>
      <w:lang w:bidi="en-US"/>
    </w:rPr>
  </w:style>
  <w:style w:type="character" w:styleId="Style2">
    <w:name w:val="Символ сноски"/>
    <w:uiPriority w:val="99"/>
    <w:qFormat/>
    <w:rsid w:val="007f54ca"/>
    <w:rPr>
      <w:vertAlign w:val="superscript"/>
    </w:rPr>
  </w:style>
  <w:style w:type="character" w:styleId="FootnoteReference">
    <w:name w:val="Footnote Reference"/>
    <w:rPr>
      <w:vertAlign w:val="superscript"/>
    </w:rPr>
  </w:style>
  <w:style w:type="character" w:styleId="Style3" w:customStyle="1">
    <w:name w:val="Абзац списка Знак"/>
    <w:link w:val="ListParagraph"/>
    <w:uiPriority w:val="34"/>
    <w:qFormat/>
    <w:locked/>
    <w:rsid w:val="007f54ca"/>
    <w:rPr>
      <w:rFonts w:ascii="Times New Roman" w:hAnsi="Times New Roman" w:eastAsia="Times New Roman" w:cs="Calibri"/>
      <w:color w:val="000000"/>
      <w:sz w:val="24"/>
      <w:lang w:bidi="en-US"/>
    </w:rPr>
  </w:style>
  <w:style w:type="character" w:styleId="Annotationreference">
    <w:name w:val="annotation reference"/>
    <w:basedOn w:val="DefaultParagraphFont"/>
    <w:unhideWhenUsed/>
    <w:qFormat/>
    <w:rsid w:val="00f143ca"/>
    <w:rPr>
      <w:sz w:val="16"/>
      <w:szCs w:val="16"/>
    </w:rPr>
  </w:style>
  <w:style w:type="character" w:styleId="Style4" w:customStyle="1">
    <w:name w:val="Текст примечания Знак"/>
    <w:basedOn w:val="DefaultParagraphFont"/>
    <w:link w:val="Annotationtext"/>
    <w:qFormat/>
    <w:rsid w:val="00f143ca"/>
    <w:rPr>
      <w:rFonts w:ascii="Times New Roman" w:hAnsi="Times New Roman" w:eastAsia="Times New Roman" w:cs="Calibri"/>
      <w:color w:val="000000"/>
      <w:sz w:val="20"/>
      <w:szCs w:val="20"/>
      <w:lang w:bidi="en-US"/>
    </w:rPr>
  </w:style>
  <w:style w:type="character" w:styleId="Style5" w:customStyle="1">
    <w:name w:val="Тема примечания Знак"/>
    <w:basedOn w:val="Style4"/>
    <w:link w:val="Annotationsubject"/>
    <w:semiHidden/>
    <w:qFormat/>
    <w:rsid w:val="00f143ca"/>
    <w:rPr>
      <w:rFonts w:ascii="Times New Roman" w:hAnsi="Times New Roman" w:eastAsia="Times New Roman" w:cs="Calibri"/>
      <w:b/>
      <w:bCs/>
      <w:color w:val="000000"/>
      <w:sz w:val="20"/>
      <w:szCs w:val="20"/>
      <w:lang w:bidi="en-US"/>
    </w:rPr>
  </w:style>
  <w:style w:type="character" w:styleId="Style6" w:customStyle="1">
    <w:name w:val="Текст выноски Знак"/>
    <w:basedOn w:val="DefaultParagraphFont"/>
    <w:link w:val="BalloonText"/>
    <w:uiPriority w:val="99"/>
    <w:semiHidden/>
    <w:qFormat/>
    <w:rsid w:val="00f143ca"/>
    <w:rPr>
      <w:rFonts w:ascii="Segoe UI" w:hAnsi="Segoe UI" w:eastAsia="Times New Roman" w:cs="Segoe UI"/>
      <w:color w:val="000000"/>
      <w:sz w:val="18"/>
      <w:szCs w:val="18"/>
      <w:lang w:bidi="en-US"/>
    </w:rPr>
  </w:style>
  <w:style w:type="character" w:styleId="Style7" w:customStyle="1">
    <w:name w:val="Верхний колонтитул Знак"/>
    <w:basedOn w:val="DefaultParagraphFont"/>
    <w:uiPriority w:val="99"/>
    <w:qFormat/>
    <w:rsid w:val="00c83c5e"/>
    <w:rPr>
      <w:rFonts w:ascii="Times New Roman" w:hAnsi="Times New Roman" w:eastAsia="Times New Roman" w:cs="Calibri"/>
      <w:color w:val="000000"/>
      <w:sz w:val="24"/>
      <w:lang w:bidi="en-US"/>
    </w:rPr>
  </w:style>
  <w:style w:type="character" w:styleId="Style8" w:customStyle="1">
    <w:name w:val="Нижний колонтитул Знак"/>
    <w:basedOn w:val="DefaultParagraphFont"/>
    <w:uiPriority w:val="99"/>
    <w:qFormat/>
    <w:rsid w:val="00c83c5e"/>
    <w:rPr>
      <w:rFonts w:ascii="Times New Roman" w:hAnsi="Times New Roman" w:eastAsia="Times New Roman" w:cs="Calibri"/>
      <w:color w:val="000000"/>
      <w:sz w:val="24"/>
      <w:lang w:bidi="en-US"/>
    </w:rPr>
  </w:style>
  <w:style w:type="character" w:styleId="Hyperlink">
    <w:name w:val="Hyperlink"/>
    <w:uiPriority w:val="99"/>
    <w:unhideWhenUsed/>
    <w:rsid w:val="002f299a"/>
    <w:rPr>
      <w:color w:val="0000FF"/>
      <w:u w:val="single"/>
    </w:rPr>
  </w:style>
  <w:style w:type="character" w:styleId="3" w:customStyle="1">
    <w:name w:val="Основной текст 3 Знак"/>
    <w:basedOn w:val="DefaultParagraphFont"/>
    <w:link w:val="BodyText3"/>
    <w:uiPriority w:val="99"/>
    <w:semiHidden/>
    <w:qFormat/>
    <w:rsid w:val="007e10af"/>
    <w:rPr>
      <w:rFonts w:ascii="Times New Roman" w:hAnsi="Times New Roman" w:eastAsia="Times New Roman" w:cs="Calibri"/>
      <w:color w:val="000000"/>
      <w:sz w:val="16"/>
      <w:szCs w:val="16"/>
      <w:lang w:bidi="en-US"/>
    </w:rPr>
  </w:style>
  <w:style w:type="character" w:styleId="2" w:customStyle="1">
    <w:name w:val="Заголовок 2 Знак"/>
    <w:basedOn w:val="DefaultParagraphFont"/>
    <w:uiPriority w:val="9"/>
    <w:qFormat/>
    <w:rsid w:val="007d6b9c"/>
    <w:rPr>
      <w:rFonts w:ascii="Cambria" w:hAnsi="Cambria" w:eastAsia="Times New Roman" w:cs="Times New Roman"/>
      <w:b/>
      <w:bCs/>
      <w:color w:val="4F81BD"/>
      <w:sz w:val="26"/>
      <w:szCs w:val="26"/>
      <w:lang w:eastAsia="ru-RU"/>
    </w:rPr>
  </w:style>
  <w:style w:type="character" w:styleId="31" w:customStyle="1">
    <w:name w:val="Заголовок 3 Знак"/>
    <w:basedOn w:val="DefaultParagraphFont"/>
    <w:uiPriority w:val="9"/>
    <w:qFormat/>
    <w:rsid w:val="007d6b9c"/>
    <w:rPr>
      <w:rFonts w:ascii="Cambria" w:hAnsi="Cambria" w:eastAsia="Times New Roman" w:cs="Times New Roman"/>
      <w:b/>
      <w:bCs/>
      <w:color w:val="4F81BD"/>
      <w:sz w:val="20"/>
      <w:szCs w:val="20"/>
      <w:lang w:eastAsia="ru-RU"/>
    </w:rPr>
  </w:style>
  <w:style w:type="character" w:styleId="4" w:customStyle="1">
    <w:name w:val="Заголовок 4 Знак"/>
    <w:basedOn w:val="DefaultParagraphFont"/>
    <w:uiPriority w:val="9"/>
    <w:qFormat/>
    <w:rsid w:val="007d6b9c"/>
    <w:rPr>
      <w:rFonts w:ascii="Cambria" w:hAnsi="Cambria" w:eastAsia="Times New Roman" w:cs="Times New Roman"/>
      <w:b/>
      <w:bCs/>
      <w:i/>
      <w:iCs/>
      <w:color w:val="4F81BD"/>
      <w:sz w:val="20"/>
      <w:szCs w:val="20"/>
      <w:lang w:eastAsia="ru-RU"/>
    </w:rPr>
  </w:style>
  <w:style w:type="character" w:styleId="5" w:customStyle="1">
    <w:name w:val="Заголовок 5 Знак"/>
    <w:basedOn w:val="DefaultParagraphFont"/>
    <w:uiPriority w:val="9"/>
    <w:qFormat/>
    <w:rsid w:val="007d6b9c"/>
    <w:rPr>
      <w:rFonts w:ascii="Cambria" w:hAnsi="Cambria" w:eastAsia="Times New Roman" w:cs="Times New Roman"/>
      <w:color w:val="243F60"/>
      <w:sz w:val="20"/>
      <w:szCs w:val="20"/>
      <w:lang w:eastAsia="ru-RU"/>
    </w:rPr>
  </w:style>
  <w:style w:type="character" w:styleId="6" w:customStyle="1">
    <w:name w:val="Заголовок 6 Знак"/>
    <w:basedOn w:val="DefaultParagraphFont"/>
    <w:uiPriority w:val="9"/>
    <w:qFormat/>
    <w:rsid w:val="007d6b9c"/>
    <w:rPr>
      <w:rFonts w:ascii="Cambria" w:hAnsi="Cambria" w:eastAsia="Times New Roman" w:cs="Times New Roman"/>
      <w:i/>
      <w:iCs/>
      <w:color w:val="243F60"/>
      <w:sz w:val="20"/>
      <w:szCs w:val="20"/>
      <w:lang w:eastAsia="ru-RU"/>
    </w:rPr>
  </w:style>
  <w:style w:type="character" w:styleId="7" w:customStyle="1">
    <w:name w:val="Заголовок 7 Знак"/>
    <w:basedOn w:val="DefaultParagraphFont"/>
    <w:uiPriority w:val="9"/>
    <w:qFormat/>
    <w:rsid w:val="007d6b9c"/>
    <w:rPr>
      <w:rFonts w:ascii="Cambria" w:hAnsi="Cambria" w:eastAsia="Times New Roman" w:cs="Times New Roman"/>
      <w:i/>
      <w:iCs/>
      <w:color w:val="404040"/>
      <w:sz w:val="20"/>
      <w:szCs w:val="20"/>
      <w:lang w:eastAsia="ru-RU"/>
    </w:rPr>
  </w:style>
  <w:style w:type="character" w:styleId="8" w:customStyle="1">
    <w:name w:val="Заголовок 8 Знак"/>
    <w:basedOn w:val="DefaultParagraphFont"/>
    <w:uiPriority w:val="9"/>
    <w:qFormat/>
    <w:rsid w:val="007d6b9c"/>
    <w:rPr>
      <w:rFonts w:ascii="Cambria" w:hAnsi="Cambria" w:eastAsia="Times New Roman" w:cs="Times New Roman"/>
      <w:color w:val="4F81BD"/>
      <w:sz w:val="20"/>
      <w:szCs w:val="20"/>
      <w:lang w:eastAsia="ru-RU"/>
    </w:rPr>
  </w:style>
  <w:style w:type="character" w:styleId="9" w:customStyle="1">
    <w:name w:val="Заголовок 9 Знак"/>
    <w:basedOn w:val="DefaultParagraphFont"/>
    <w:uiPriority w:val="9"/>
    <w:qFormat/>
    <w:rsid w:val="007d6b9c"/>
    <w:rPr>
      <w:rFonts w:ascii="Cambria" w:hAnsi="Cambria" w:eastAsia="Times New Roman" w:cs="Times New Roman"/>
      <w:i/>
      <w:iCs/>
      <w:color w:val="404040"/>
      <w:sz w:val="20"/>
      <w:szCs w:val="20"/>
      <w:lang w:eastAsia="ru-RU"/>
    </w:rPr>
  </w:style>
  <w:style w:type="character" w:styleId="Apple-style-span" w:customStyle="1">
    <w:name w:val="apple-style-span"/>
    <w:basedOn w:val="DefaultParagraphFont"/>
    <w:qFormat/>
    <w:rsid w:val="007d6b9c"/>
    <w:rPr/>
  </w:style>
  <w:style w:type="character" w:styleId="Apple-converted-space" w:customStyle="1">
    <w:name w:val="apple-converted-space"/>
    <w:basedOn w:val="DefaultParagraphFont"/>
    <w:qFormat/>
    <w:rsid w:val="007d6b9c"/>
    <w:rPr/>
  </w:style>
  <w:style w:type="character" w:styleId="11" w:customStyle="1">
    <w:name w:val="Подпункт Знак1"/>
    <w:link w:val="Style26"/>
    <w:qFormat/>
    <w:locked/>
    <w:rsid w:val="007d6b9c"/>
    <w:rPr>
      <w:rFonts w:ascii="Times New Roman" w:hAnsi="Times New Roman" w:eastAsia="Times New Roman" w:cs="Times New Roman"/>
      <w:b/>
      <w:sz w:val="28"/>
      <w:szCs w:val="20"/>
      <w:lang w:eastAsia="ru-RU"/>
    </w:rPr>
  </w:style>
  <w:style w:type="character" w:styleId="Linenumber">
    <w:name w:val="line number"/>
    <w:basedOn w:val="DefaultParagraphFont"/>
    <w:uiPriority w:val="99"/>
    <w:semiHidden/>
    <w:unhideWhenUsed/>
    <w:qFormat/>
    <w:rsid w:val="007d6b9c"/>
    <w:rPr/>
  </w:style>
  <w:style w:type="character" w:styleId="Style9" w:customStyle="1">
    <w:name w:val="Схема документа Знак"/>
    <w:basedOn w:val="DefaultParagraphFont"/>
    <w:link w:val="DocumentMap"/>
    <w:uiPriority w:val="99"/>
    <w:semiHidden/>
    <w:qFormat/>
    <w:rsid w:val="007d6b9c"/>
    <w:rPr>
      <w:rFonts w:ascii="Tahoma" w:hAnsi="Tahoma" w:eastAsia="Times New Roman" w:cs="Tahoma"/>
      <w:sz w:val="16"/>
      <w:szCs w:val="16"/>
      <w:lang w:eastAsia="ru-RU"/>
    </w:rPr>
  </w:style>
  <w:style w:type="character" w:styleId="Style10" w:customStyle="1">
    <w:name w:val="Название Знак"/>
    <w:link w:val="15"/>
    <w:uiPriority w:val="10"/>
    <w:qFormat/>
    <w:rsid w:val="007d6b9c"/>
    <w:rPr>
      <w:rFonts w:ascii="Cambria" w:hAnsi="Cambria" w:eastAsia="Times New Roman" w:cs="Times New Roman"/>
      <w:color w:val="17365D"/>
      <w:spacing w:val="5"/>
      <w:kern w:val="2"/>
      <w:sz w:val="52"/>
      <w:szCs w:val="52"/>
      <w:lang w:eastAsia="ru-RU"/>
    </w:rPr>
  </w:style>
  <w:style w:type="character" w:styleId="Style11" w:customStyle="1">
    <w:name w:val="Подзаголовок Знак"/>
    <w:basedOn w:val="DefaultParagraphFont"/>
    <w:uiPriority w:val="11"/>
    <w:qFormat/>
    <w:rsid w:val="007d6b9c"/>
    <w:rPr>
      <w:rFonts w:ascii="Cambria" w:hAnsi="Cambria" w:eastAsia="Times New Roman" w:cs="Times New Roman"/>
      <w:i/>
      <w:iCs/>
      <w:color w:val="4F81BD"/>
      <w:spacing w:val="15"/>
      <w:sz w:val="24"/>
      <w:szCs w:val="24"/>
      <w:lang w:eastAsia="ru-RU"/>
    </w:rPr>
  </w:style>
  <w:style w:type="character" w:styleId="Strong">
    <w:name w:val="Strong"/>
    <w:uiPriority w:val="22"/>
    <w:qFormat/>
    <w:rsid w:val="007d6b9c"/>
    <w:rPr>
      <w:b/>
      <w:bCs/>
    </w:rPr>
  </w:style>
  <w:style w:type="character" w:styleId="Emphasis">
    <w:name w:val="Emphasis"/>
    <w:uiPriority w:val="20"/>
    <w:qFormat/>
    <w:rsid w:val="007d6b9c"/>
    <w:rPr>
      <w:i/>
      <w:iCs/>
    </w:rPr>
  </w:style>
  <w:style w:type="character" w:styleId="21" w:customStyle="1">
    <w:name w:val="Цитата 2 Знак"/>
    <w:basedOn w:val="DefaultParagraphFont"/>
    <w:link w:val="Quote"/>
    <w:uiPriority w:val="29"/>
    <w:qFormat/>
    <w:rsid w:val="007d6b9c"/>
    <w:rPr>
      <w:rFonts w:ascii="Calibri" w:hAnsi="Calibri" w:eastAsia="Calibri" w:cs="Times New Roman"/>
      <w:i/>
      <w:iCs/>
      <w:color w:val="000000"/>
      <w:sz w:val="20"/>
      <w:szCs w:val="20"/>
      <w:lang w:eastAsia="ru-RU"/>
    </w:rPr>
  </w:style>
  <w:style w:type="character" w:styleId="Style12" w:customStyle="1">
    <w:name w:val="Выделенная цитата Знак"/>
    <w:basedOn w:val="DefaultParagraphFont"/>
    <w:link w:val="IntenseQuote"/>
    <w:uiPriority w:val="30"/>
    <w:qFormat/>
    <w:rsid w:val="007d6b9c"/>
    <w:rPr>
      <w:rFonts w:ascii="Calibri" w:hAnsi="Calibri" w:eastAsia="Calibri" w:cs="Times New Roman"/>
      <w:b/>
      <w:bCs/>
      <w:i/>
      <w:iCs/>
      <w:color w:val="4F81BD"/>
      <w:sz w:val="20"/>
      <w:szCs w:val="20"/>
      <w:lang w:eastAsia="ru-RU"/>
    </w:rPr>
  </w:style>
  <w:style w:type="character" w:styleId="SubtleEmphasis">
    <w:name w:val="Subtle Emphasis"/>
    <w:uiPriority w:val="19"/>
    <w:qFormat/>
    <w:rsid w:val="007d6b9c"/>
    <w:rPr>
      <w:i/>
      <w:iCs/>
      <w:color w:val="808080"/>
    </w:rPr>
  </w:style>
  <w:style w:type="character" w:styleId="IntenseEmphasis">
    <w:name w:val="Intense Emphasis"/>
    <w:uiPriority w:val="21"/>
    <w:qFormat/>
    <w:rsid w:val="007d6b9c"/>
    <w:rPr>
      <w:b/>
      <w:bCs/>
      <w:i/>
      <w:iCs/>
      <w:color w:val="4F81BD"/>
    </w:rPr>
  </w:style>
  <w:style w:type="character" w:styleId="SubtleReference">
    <w:name w:val="Subtle Reference"/>
    <w:uiPriority w:val="31"/>
    <w:qFormat/>
    <w:rsid w:val="007d6b9c"/>
    <w:rPr>
      <w:smallCaps/>
      <w:color w:val="C0504D"/>
      <w:u w:val="single"/>
    </w:rPr>
  </w:style>
  <w:style w:type="character" w:styleId="IntenseReference">
    <w:name w:val="Intense Reference"/>
    <w:uiPriority w:val="32"/>
    <w:qFormat/>
    <w:rsid w:val="007d6b9c"/>
    <w:rPr>
      <w:b/>
      <w:bCs/>
      <w:smallCaps/>
      <w:color w:val="C0504D"/>
      <w:spacing w:val="5"/>
      <w:u w:val="single"/>
    </w:rPr>
  </w:style>
  <w:style w:type="character" w:styleId="BookTitle">
    <w:name w:val="Book Title"/>
    <w:uiPriority w:val="33"/>
    <w:qFormat/>
    <w:rsid w:val="007d6b9c"/>
    <w:rPr>
      <w:b/>
      <w:bCs/>
      <w:smallCaps/>
      <w:spacing w:val="5"/>
    </w:rPr>
  </w:style>
  <w:style w:type="character" w:styleId="Style13" w:customStyle="1">
    <w:name w:val="Электронная подпись Знак"/>
    <w:basedOn w:val="DefaultParagraphFont"/>
    <w:link w:val="E-mailSignature"/>
    <w:uiPriority w:val="99"/>
    <w:semiHidden/>
    <w:qFormat/>
    <w:rsid w:val="007d6b9c"/>
    <w:rPr>
      <w:rFonts w:ascii="Times New Roman" w:hAnsi="Times New Roman" w:eastAsia="Calibri" w:cs="Times New Roman"/>
      <w:sz w:val="24"/>
      <w:szCs w:val="24"/>
      <w:lang w:eastAsia="ru-RU"/>
    </w:rPr>
  </w:style>
  <w:style w:type="character" w:styleId="Style14" w:customStyle="1">
    <w:name w:val="Основной текст с отступом Знак"/>
    <w:basedOn w:val="DefaultParagraphFont"/>
    <w:qFormat/>
    <w:rsid w:val="007d6b9c"/>
    <w:rPr>
      <w:rFonts w:ascii="Times New Roman" w:hAnsi="Times New Roman" w:eastAsia="Times New Roman" w:cs="Times New Roman"/>
      <w:sz w:val="28"/>
      <w:szCs w:val="28"/>
      <w:lang w:eastAsia="ru-RU"/>
    </w:rPr>
  </w:style>
  <w:style w:type="character" w:styleId="FollowedHyperlink">
    <w:name w:val="FollowedHyperlink"/>
    <w:uiPriority w:val="99"/>
    <w:semiHidden/>
    <w:unhideWhenUsed/>
    <w:rsid w:val="007d6b9c"/>
    <w:rPr>
      <w:color w:val="954F72"/>
      <w:u w:val="single"/>
    </w:rPr>
  </w:style>
  <w:style w:type="character" w:styleId="61" w:customStyle="1">
    <w:name w:val="Основной текст (6)_"/>
    <w:basedOn w:val="DefaultParagraphFont"/>
    <w:link w:val="62"/>
    <w:qFormat/>
    <w:rsid w:val="007d6b9c"/>
    <w:rPr>
      <w:rFonts w:ascii="Times New Roman" w:hAnsi="Times New Roman"/>
      <w:shd w:fill="FFFFFF" w:val="clear"/>
    </w:rPr>
  </w:style>
  <w:style w:type="character" w:styleId="Style15" w:customStyle="1">
    <w:name w:val="Колонтитул_"/>
    <w:basedOn w:val="DefaultParagraphFont"/>
    <w:link w:val="Style21"/>
    <w:qFormat/>
    <w:rsid w:val="007d6b9c"/>
    <w:rPr>
      <w:rFonts w:ascii="Times New Roman" w:hAnsi="Times New Roman"/>
      <w:shd w:fill="FFFFFF" w:val="clear"/>
    </w:rPr>
  </w:style>
  <w:style w:type="character" w:styleId="Style16" w:customStyle="1">
    <w:name w:val="комментарий"/>
    <w:qFormat/>
    <w:rsid w:val="007d6b9c"/>
    <w:rPr>
      <w:b/>
      <w:i/>
      <w:shd w:fill="FFFF99" w:val="clear"/>
    </w:rPr>
  </w:style>
  <w:style w:type="character" w:styleId="ConsPlusNormal" w:customStyle="1">
    <w:name w:val="ConsPlusNormal Знак"/>
    <w:link w:val="ConsPlusNormal1"/>
    <w:qFormat/>
    <w:rsid w:val="007d6b9c"/>
    <w:rPr>
      <w:rFonts w:ascii="Arial" w:hAnsi="Arial" w:eastAsia="Times New Roman" w:cs="Arial"/>
      <w:sz w:val="20"/>
      <w:szCs w:val="20"/>
      <w:lang w:eastAsia="ru-RU"/>
    </w:rPr>
  </w:style>
  <w:style w:type="character" w:styleId="12" w:customStyle="1">
    <w:name w:val="Абзац списка Знак1"/>
    <w:basedOn w:val="DefaultParagraphFont"/>
    <w:uiPriority w:val="34"/>
    <w:qFormat/>
    <w:rsid w:val="007d6b9c"/>
    <w:rPr>
      <w:rFonts w:ascii="Calibri" w:hAnsi="Calibri"/>
      <w:sz w:val="22"/>
    </w:rPr>
  </w:style>
  <w:style w:type="character" w:styleId="EndnoteReference">
    <w:name w:val="Endnote Reference"/>
    <w:rPr>
      <w:vertAlign w:val="superscript"/>
    </w:rPr>
  </w:style>
  <w:style w:type="character" w:styleId="Style17">
    <w:name w:val="Символ концевой сноски"/>
    <w:qFormat/>
    <w:rPr/>
  </w:style>
  <w:style w:type="paragraph" w:styleId="Style18">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
    <w:rsid w:val="007f54ca"/>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9">
    <w:name w:val="Указатель"/>
    <w:basedOn w:val="Normal"/>
    <w:qFormat/>
    <w:pPr>
      <w:suppressLineNumbers/>
    </w:pPr>
    <w:rPr/>
  </w:style>
  <w:style w:type="paragraph" w:styleId="-" w:customStyle="1">
    <w:name w:val="Адрес&lt;-&gt;Дата"/>
    <w:basedOn w:val="Normal"/>
    <w:qFormat/>
    <w:rsid w:val="007f54ca"/>
    <w:pPr>
      <w:tabs>
        <w:tab w:val="clear" w:pos="708"/>
        <w:tab w:val="right" w:pos="9639" w:leader="none"/>
      </w:tabs>
      <w:spacing w:lineRule="auto" w:line="360" w:before="60" w:after="60"/>
      <w:ind w:hanging="0"/>
      <w:jc w:val="left"/>
    </w:pPr>
    <w:rPr/>
  </w:style>
  <w:style w:type="paragraph" w:styleId="ListParagraph">
    <w:name w:val="List Paragraph"/>
    <w:basedOn w:val="Normal"/>
    <w:link w:val="Style3"/>
    <w:uiPriority w:val="34"/>
    <w:qFormat/>
    <w:rsid w:val="007f54ca"/>
    <w:pPr>
      <w:ind w:left="720" w:firstLine="397"/>
    </w:pPr>
    <w:rPr/>
  </w:style>
  <w:style w:type="paragraph" w:styleId="Style20" w:customStyle="1">
    <w:name w:val="Жирный обычный текст"/>
    <w:basedOn w:val="Normal"/>
    <w:qFormat/>
    <w:rsid w:val="007f54ca"/>
    <w:pPr/>
    <w:rPr>
      <w:b/>
    </w:rPr>
  </w:style>
  <w:style w:type="paragraph" w:styleId="FootnoteText">
    <w:name w:val="Footnote Text"/>
    <w:basedOn w:val="Normal"/>
    <w:link w:val="Style1"/>
    <w:uiPriority w:val="99"/>
    <w:rsid w:val="007f54ca"/>
    <w:pPr/>
    <w:rPr>
      <w:sz w:val="20"/>
      <w:szCs w:val="20"/>
    </w:rPr>
  </w:style>
  <w:style w:type="paragraph" w:styleId="Annotationtext">
    <w:name w:val="annotation text"/>
    <w:basedOn w:val="Normal"/>
    <w:link w:val="Style4"/>
    <w:unhideWhenUsed/>
    <w:qFormat/>
    <w:rsid w:val="00f143ca"/>
    <w:pPr/>
    <w:rPr>
      <w:sz w:val="20"/>
      <w:szCs w:val="20"/>
    </w:rPr>
  </w:style>
  <w:style w:type="paragraph" w:styleId="Annotationsubject">
    <w:name w:val="annotation subject"/>
    <w:basedOn w:val="Annotationtext"/>
    <w:next w:val="Annotationtext"/>
    <w:link w:val="Style5"/>
    <w:semiHidden/>
    <w:unhideWhenUsed/>
    <w:qFormat/>
    <w:rsid w:val="00f143ca"/>
    <w:pPr/>
    <w:rPr>
      <w:b/>
      <w:bCs/>
    </w:rPr>
  </w:style>
  <w:style w:type="paragraph" w:styleId="BalloonText">
    <w:name w:val="Balloon Text"/>
    <w:basedOn w:val="Normal"/>
    <w:link w:val="Style6"/>
    <w:semiHidden/>
    <w:unhideWhenUsed/>
    <w:qFormat/>
    <w:rsid w:val="00f143ca"/>
    <w:pPr/>
    <w:rPr>
      <w:rFonts w:ascii="Segoe UI" w:hAnsi="Segoe UI" w:cs="Segoe UI"/>
      <w:sz w:val="18"/>
      <w:szCs w:val="18"/>
    </w:rPr>
  </w:style>
  <w:style w:type="paragraph" w:styleId="Style21" w:customStyle="1">
    <w:name w:val="Колонтитул"/>
    <w:basedOn w:val="Normal"/>
    <w:link w:val="Style15"/>
    <w:qFormat/>
    <w:rsid w:val="007d6b9c"/>
    <w:pPr>
      <w:shd w:val="clear" w:color="auto" w:fill="FFFFFF"/>
      <w:snapToGrid w:val="true"/>
      <w:ind w:hanging="0"/>
      <w:jc w:val="left"/>
    </w:pPr>
    <w:rPr>
      <w:rFonts w:eastAsia="Calibri" w:cs="" w:cstheme="minorBidi" w:eastAsiaTheme="minorHAnsi"/>
      <w:color w:val="auto"/>
      <w:sz w:val="22"/>
      <w:lang w:bidi="ar-SA"/>
    </w:rPr>
  </w:style>
  <w:style w:type="paragraph" w:styleId="Header">
    <w:name w:val="Header"/>
    <w:basedOn w:val="Normal"/>
    <w:link w:val="Style7"/>
    <w:uiPriority w:val="99"/>
    <w:unhideWhenUsed/>
    <w:rsid w:val="00c83c5e"/>
    <w:pPr>
      <w:tabs>
        <w:tab w:val="clear" w:pos="708"/>
        <w:tab w:val="center" w:pos="4677" w:leader="none"/>
        <w:tab w:val="right" w:pos="9355" w:leader="none"/>
      </w:tabs>
    </w:pPr>
    <w:rPr/>
  </w:style>
  <w:style w:type="paragraph" w:styleId="Footer">
    <w:name w:val="Footer"/>
    <w:basedOn w:val="Normal"/>
    <w:link w:val="Style8"/>
    <w:uiPriority w:val="99"/>
    <w:unhideWhenUsed/>
    <w:rsid w:val="00c83c5e"/>
    <w:pPr>
      <w:tabs>
        <w:tab w:val="clear" w:pos="708"/>
        <w:tab w:val="center" w:pos="4677" w:leader="none"/>
        <w:tab w:val="right" w:pos="9355" w:leader="none"/>
      </w:tabs>
    </w:pPr>
    <w:rPr/>
  </w:style>
  <w:style w:type="paragraph" w:styleId="Revision">
    <w:name w:val="Revision"/>
    <w:uiPriority w:val="99"/>
    <w:semiHidden/>
    <w:qFormat/>
    <w:rsid w:val="006664ab"/>
    <w:pPr>
      <w:widowControl/>
      <w:bidi w:val="0"/>
      <w:spacing w:lineRule="auto" w:line="240" w:before="0" w:after="0"/>
      <w:jc w:val="left"/>
    </w:pPr>
    <w:rPr>
      <w:rFonts w:ascii="Times New Roman" w:hAnsi="Times New Roman" w:eastAsia="Times New Roman" w:cs="Calibri"/>
      <w:color w:val="000000"/>
      <w:kern w:val="0"/>
      <w:sz w:val="24"/>
      <w:szCs w:val="22"/>
      <w:lang w:bidi="en-US" w:val="ru-RU" w:eastAsia="en-US"/>
    </w:rPr>
  </w:style>
  <w:style w:type="paragraph" w:styleId="BodyText3">
    <w:name w:val="Body Text 3"/>
    <w:basedOn w:val="Normal"/>
    <w:link w:val="3"/>
    <w:uiPriority w:val="99"/>
    <w:semiHidden/>
    <w:unhideWhenUsed/>
    <w:qFormat/>
    <w:rsid w:val="007e10af"/>
    <w:pPr>
      <w:spacing w:before="0" w:after="120"/>
    </w:pPr>
    <w:rPr>
      <w:sz w:val="16"/>
      <w:szCs w:val="16"/>
    </w:rPr>
  </w:style>
  <w:style w:type="paragraph" w:styleId="Style22" w:customStyle="1">
    <w:name w:val="Обычный+ без отступа"/>
    <w:basedOn w:val="Normal"/>
    <w:qFormat/>
    <w:rsid w:val="007d6b9c"/>
    <w:pPr>
      <w:widowControl/>
      <w:snapToGrid w:val="true"/>
      <w:spacing w:lineRule="auto" w:line="360" w:before="120" w:after="0"/>
      <w:ind w:hanging="0"/>
    </w:pPr>
    <w:rPr>
      <w:rFonts w:eastAsia="MS Mincho" w:cs="Times New Roman"/>
      <w:color w:val="auto"/>
      <w:sz w:val="28"/>
      <w:szCs w:val="28"/>
      <w:lang w:eastAsia="ru-RU" w:bidi="ar-SA"/>
    </w:rPr>
  </w:style>
  <w:style w:type="paragraph" w:styleId="Style23" w:customStyle="1">
    <w:name w:val="Таблица шапка"/>
    <w:basedOn w:val="Normal"/>
    <w:qFormat/>
    <w:rsid w:val="007d6b9c"/>
    <w:pPr>
      <w:keepNext w:val="true"/>
      <w:widowControl/>
      <w:snapToGrid w:val="true"/>
      <w:spacing w:before="40" w:after="40"/>
      <w:ind w:left="57" w:right="57" w:hanging="0"/>
      <w:jc w:val="left"/>
    </w:pPr>
    <w:rPr>
      <w:rFonts w:cs="Times New Roman"/>
      <w:color w:val="auto"/>
      <w:sz w:val="18"/>
      <w:szCs w:val="18"/>
      <w:lang w:eastAsia="ru-RU" w:bidi="ar-SA"/>
    </w:rPr>
  </w:style>
  <w:style w:type="paragraph" w:styleId="Style24" w:customStyle="1">
    <w:name w:val="Текст таблицы"/>
    <w:basedOn w:val="Normal"/>
    <w:qFormat/>
    <w:rsid w:val="007d6b9c"/>
    <w:pPr>
      <w:widowControl/>
      <w:snapToGrid w:val="true"/>
      <w:spacing w:before="40" w:after="40"/>
      <w:ind w:left="57" w:right="57" w:hanging="0"/>
      <w:jc w:val="left"/>
    </w:pPr>
    <w:rPr>
      <w:rFonts w:cs="Times New Roman"/>
      <w:color w:val="auto"/>
      <w:szCs w:val="24"/>
      <w:lang w:eastAsia="ru-RU" w:bidi="ar-SA"/>
    </w:rPr>
  </w:style>
  <w:style w:type="paragraph" w:styleId="Style25" w:customStyle="1">
    <w:name w:val="Пункт Знак"/>
    <w:basedOn w:val="Normal"/>
    <w:qFormat/>
    <w:rsid w:val="007d6b9c"/>
    <w:pPr>
      <w:widowControl/>
      <w:numPr>
        <w:ilvl w:val="1"/>
        <w:numId w:val="2"/>
      </w:numPr>
      <w:tabs>
        <w:tab w:val="clear" w:pos="708"/>
        <w:tab w:val="left" w:pos="851" w:leader="none"/>
        <w:tab w:val="left" w:pos="1134" w:leader="none"/>
      </w:tabs>
      <w:snapToGrid w:val="true"/>
      <w:spacing w:lineRule="auto" w:line="360"/>
    </w:pPr>
    <w:rPr>
      <w:rFonts w:cs="Times New Roman"/>
      <w:b/>
      <w:color w:val="auto"/>
      <w:sz w:val="28"/>
      <w:szCs w:val="20"/>
      <w:lang w:eastAsia="ru-RU" w:bidi="ar-SA"/>
    </w:rPr>
  </w:style>
  <w:style w:type="paragraph" w:styleId="Style26" w:customStyle="1">
    <w:name w:val="Подпункт"/>
    <w:basedOn w:val="Style25"/>
    <w:link w:val="11"/>
    <w:qFormat/>
    <w:rsid w:val="007d6b9c"/>
    <w:pPr>
      <w:numPr>
        <w:ilvl w:val="2"/>
      </w:numPr>
      <w:tabs>
        <w:tab w:val="clear" w:pos="1134"/>
        <w:tab w:val="left" w:pos="851" w:leader="none"/>
      </w:tabs>
    </w:pPr>
    <w:rPr/>
  </w:style>
  <w:style w:type="paragraph" w:styleId="Style27" w:customStyle="1">
    <w:name w:val="Подподпункт"/>
    <w:basedOn w:val="Style26"/>
    <w:qFormat/>
    <w:rsid w:val="007d6b9c"/>
    <w:pPr>
      <w:numPr>
        <w:ilvl w:val="3"/>
      </w:numPr>
      <w:tabs>
        <w:tab w:val="left" w:pos="851" w:leader="none"/>
        <w:tab w:val="left" w:pos="1021" w:leader="none"/>
        <w:tab w:val="left" w:pos="1134" w:leader="none"/>
        <w:tab w:val="left" w:pos="1418" w:leader="none"/>
      </w:tabs>
      <w:ind w:left="0" w:hanging="0"/>
    </w:pPr>
    <w:rPr/>
  </w:style>
  <w:style w:type="paragraph" w:styleId="Style28" w:customStyle="1">
    <w:name w:val="Подподподпункт"/>
    <w:basedOn w:val="Normal"/>
    <w:qFormat/>
    <w:rsid w:val="007d6b9c"/>
    <w:pPr>
      <w:widowControl/>
      <w:numPr>
        <w:ilvl w:val="4"/>
        <w:numId w:val="2"/>
      </w:numPr>
      <w:tabs>
        <w:tab w:val="clear" w:pos="708"/>
        <w:tab w:val="left" w:pos="1134" w:leader="none"/>
        <w:tab w:val="left" w:pos="1701" w:leader="none"/>
      </w:tabs>
      <w:snapToGrid w:val="true"/>
      <w:spacing w:lineRule="auto" w:line="360"/>
    </w:pPr>
    <w:rPr>
      <w:rFonts w:cs="Times New Roman"/>
      <w:color w:val="auto"/>
      <w:sz w:val="28"/>
      <w:szCs w:val="20"/>
      <w:lang w:eastAsia="ru-RU" w:bidi="ar-SA"/>
    </w:rPr>
  </w:style>
  <w:style w:type="paragraph" w:styleId="13" w:customStyle="1">
    <w:name w:val="Пункт1"/>
    <w:basedOn w:val="Normal"/>
    <w:qFormat/>
    <w:rsid w:val="007d6b9c"/>
    <w:pPr>
      <w:widowControl/>
      <w:numPr>
        <w:ilvl w:val="0"/>
        <w:numId w:val="2"/>
      </w:numPr>
      <w:snapToGrid w:val="true"/>
      <w:spacing w:lineRule="auto" w:line="360" w:before="240" w:after="0"/>
      <w:jc w:val="center"/>
    </w:pPr>
    <w:rPr>
      <w:rFonts w:ascii="Arial" w:hAnsi="Arial" w:cs="Times New Roman"/>
      <w:b/>
      <w:color w:val="auto"/>
      <w:sz w:val="28"/>
      <w:szCs w:val="28"/>
      <w:lang w:eastAsia="ru-RU" w:bidi="ar-SA"/>
    </w:rPr>
  </w:style>
  <w:style w:type="paragraph" w:styleId="32" w:customStyle="1">
    <w:name w:val="Пункт_3"/>
    <w:basedOn w:val="Normal"/>
    <w:uiPriority w:val="99"/>
    <w:qFormat/>
    <w:rsid w:val="007d6b9c"/>
    <w:pPr>
      <w:widowControl/>
      <w:tabs>
        <w:tab w:val="clear" w:pos="708"/>
        <w:tab w:val="left" w:pos="1134" w:leader="none"/>
      </w:tabs>
      <w:snapToGrid w:val="true"/>
      <w:spacing w:lineRule="auto" w:line="360"/>
      <w:ind w:left="1134" w:hanging="1133"/>
    </w:pPr>
    <w:rPr>
      <w:rFonts w:cs="Times New Roman"/>
      <w:color w:val="auto"/>
      <w:sz w:val="28"/>
      <w:szCs w:val="20"/>
      <w:lang w:eastAsia="ru-RU" w:bidi="ar-SA"/>
    </w:rPr>
  </w:style>
  <w:style w:type="paragraph" w:styleId="TOC1">
    <w:name w:val="TOC 1"/>
    <w:basedOn w:val="Normal"/>
    <w:next w:val="Normal"/>
    <w:autoRedefine/>
    <w:uiPriority w:val="39"/>
    <w:rsid w:val="007d6b9c"/>
    <w:pPr>
      <w:widowControl/>
      <w:tabs>
        <w:tab w:val="clear" w:pos="708"/>
        <w:tab w:val="right" w:pos="9344" w:leader="dot"/>
      </w:tabs>
      <w:snapToGrid w:val="true"/>
      <w:ind w:hanging="0"/>
      <w:jc w:val="center"/>
    </w:pPr>
    <w:rPr>
      <w:rFonts w:cs="Times New Roman"/>
      <w:b/>
      <w:color w:val="auto"/>
      <w:szCs w:val="24"/>
      <w:lang w:eastAsia="ru-RU" w:bidi="ar-SA"/>
    </w:rPr>
  </w:style>
  <w:style w:type="paragraph" w:styleId="TOC2">
    <w:name w:val="TOC 2"/>
    <w:basedOn w:val="Normal"/>
    <w:next w:val="Normal"/>
    <w:autoRedefine/>
    <w:uiPriority w:val="39"/>
    <w:unhideWhenUsed/>
    <w:rsid w:val="007d6b9c"/>
    <w:pPr>
      <w:widowControl/>
      <w:tabs>
        <w:tab w:val="clear" w:pos="708"/>
        <w:tab w:val="left" w:pos="426" w:leader="none"/>
        <w:tab w:val="left" w:pos="1680" w:leader="none"/>
        <w:tab w:val="right" w:pos="9344" w:leader="dot"/>
        <w:tab w:val="right" w:pos="9639" w:leader="dot"/>
      </w:tabs>
      <w:snapToGrid w:val="true"/>
      <w:spacing w:lineRule="auto" w:line="276"/>
      <w:ind w:left="220" w:hanging="0"/>
      <w:jc w:val="left"/>
    </w:pPr>
    <w:rPr>
      <w:rFonts w:ascii="Calibri" w:hAnsi="Calibri" w:cs="Times New Roman"/>
      <w:color w:val="auto"/>
      <w:sz w:val="22"/>
      <w:lang w:eastAsia="ru-RU" w:bidi="ar-SA"/>
    </w:rPr>
  </w:style>
  <w:style w:type="paragraph" w:styleId="ConsPlusNormal1" w:customStyle="1">
    <w:name w:val="ConsPlusNormal"/>
    <w:link w:val="ConsPlusNormal"/>
    <w:qFormat/>
    <w:rsid w:val="007d6b9c"/>
    <w:pPr>
      <w:widowControl w:val="false"/>
      <w:bidi w:val="0"/>
      <w:spacing w:lineRule="auto" w:line="240" w:before="0" w:after="0"/>
      <w:ind w:firstLine="720"/>
      <w:jc w:val="left"/>
    </w:pPr>
    <w:rPr>
      <w:rFonts w:ascii="Arial" w:hAnsi="Arial" w:eastAsia="Times New Roman" w:cs="Arial"/>
      <w:color w:val="auto"/>
      <w:kern w:val="0"/>
      <w:sz w:val="20"/>
      <w:szCs w:val="20"/>
      <w:lang w:eastAsia="ru-RU" w:val="ru-RU" w:bidi="ar-SA"/>
    </w:rPr>
  </w:style>
  <w:style w:type="paragraph" w:styleId="Style29" w:customStyle="1">
    <w:name w:val="Таблица"/>
    <w:basedOn w:val="Normal"/>
    <w:qFormat/>
    <w:rsid w:val="007d6b9c"/>
    <w:pPr>
      <w:widowControl/>
      <w:snapToGrid w:val="true"/>
      <w:ind w:hanging="0"/>
      <w:jc w:val="left"/>
    </w:pPr>
    <w:rPr>
      <w:rFonts w:cs="Times New Roman"/>
      <w:color w:val="auto"/>
      <w:sz w:val="20"/>
      <w:szCs w:val="20"/>
      <w:lang w:eastAsia="ru-RU" w:bidi="ar-SA"/>
    </w:rPr>
  </w:style>
  <w:style w:type="paragraph" w:styleId="14" w:customStyle="1">
    <w:name w:val="Абзац списка1"/>
    <w:basedOn w:val="Normal"/>
    <w:qFormat/>
    <w:rsid w:val="007d6b9c"/>
    <w:pPr>
      <w:widowControl/>
      <w:snapToGrid w:val="true"/>
      <w:spacing w:lineRule="auto" w:line="276" w:before="0" w:after="200"/>
      <w:ind w:left="720" w:hanging="0"/>
      <w:contextualSpacing/>
      <w:jc w:val="left"/>
    </w:pPr>
    <w:rPr>
      <w:rFonts w:ascii="Calibri" w:hAnsi="Calibri" w:cs="Times New Roman"/>
      <w:color w:val="auto"/>
      <w:sz w:val="22"/>
      <w:lang w:eastAsia="ru-RU" w:bidi="ar-SA"/>
    </w:rPr>
  </w:style>
  <w:style w:type="paragraph" w:styleId="DocumentMap">
    <w:name w:val="Document Map"/>
    <w:basedOn w:val="Normal"/>
    <w:link w:val="Style9"/>
    <w:uiPriority w:val="99"/>
    <w:semiHidden/>
    <w:unhideWhenUsed/>
    <w:qFormat/>
    <w:rsid w:val="007d6b9c"/>
    <w:pPr>
      <w:widowControl/>
      <w:snapToGrid w:val="true"/>
      <w:ind w:hanging="0"/>
      <w:jc w:val="left"/>
    </w:pPr>
    <w:rPr>
      <w:rFonts w:ascii="Tahoma" w:hAnsi="Tahoma" w:cs="Tahoma"/>
      <w:color w:val="auto"/>
      <w:sz w:val="16"/>
      <w:szCs w:val="16"/>
      <w:lang w:eastAsia="ru-RU" w:bidi="ar-SA"/>
    </w:rPr>
  </w:style>
  <w:style w:type="paragraph" w:styleId="Style30" w:customStyle="1">
    <w:name w:val="Знак Знак Знак Знак Знак Знак Знак Знак Знак"/>
    <w:basedOn w:val="Normal"/>
    <w:qFormat/>
    <w:rsid w:val="007d6b9c"/>
    <w:pPr>
      <w:widowControl/>
      <w:snapToGrid w:val="true"/>
      <w:spacing w:lineRule="exact" w:line="240" w:before="0" w:after="160"/>
      <w:ind w:hanging="0"/>
    </w:pPr>
    <w:rPr>
      <w:rFonts w:ascii="Verdana" w:hAnsi="Verdana" w:cs="Verdana"/>
      <w:color w:val="auto"/>
      <w:sz w:val="22"/>
      <w:lang w:val="en-US" w:eastAsia="ru-RU" w:bidi="ar-SA"/>
    </w:rPr>
  </w:style>
  <w:style w:type="paragraph" w:styleId="NoSpacing">
    <w:name w:val="No Spacing"/>
    <w:basedOn w:val="Normal"/>
    <w:uiPriority w:val="1"/>
    <w:qFormat/>
    <w:rsid w:val="007d6b9c"/>
    <w:pPr>
      <w:widowControl/>
      <w:snapToGrid w:val="true"/>
      <w:spacing w:lineRule="auto" w:line="360"/>
      <w:ind w:hanging="0"/>
      <w:jc w:val="left"/>
    </w:pPr>
    <w:rPr>
      <w:rFonts w:eastAsia="Calibri" w:cs="Times New Roman"/>
      <w:color w:val="auto"/>
      <w:szCs w:val="24"/>
      <w:lang w:eastAsia="ru-RU" w:bidi="ar-SA"/>
    </w:rPr>
  </w:style>
  <w:style w:type="paragraph" w:styleId="Caption1">
    <w:name w:val="caption1"/>
    <w:basedOn w:val="Normal"/>
    <w:next w:val="Normal"/>
    <w:uiPriority w:val="35"/>
    <w:qFormat/>
    <w:rsid w:val="007d6b9c"/>
    <w:pPr>
      <w:widowControl/>
      <w:snapToGrid w:val="true"/>
      <w:ind w:hanging="0"/>
      <w:jc w:val="left"/>
    </w:pPr>
    <w:rPr>
      <w:rFonts w:eastAsia="Calibri" w:cs="Times New Roman"/>
      <w:b/>
      <w:bCs/>
      <w:color w:val="4F81BD"/>
      <w:sz w:val="18"/>
      <w:szCs w:val="18"/>
      <w:lang w:eastAsia="ru-RU" w:bidi="ar-SA"/>
    </w:rPr>
  </w:style>
  <w:style w:type="paragraph" w:styleId="15" w:customStyle="1">
    <w:name w:val="Название1"/>
    <w:basedOn w:val="Normal"/>
    <w:next w:val="Normal"/>
    <w:link w:val="Style10"/>
    <w:uiPriority w:val="10"/>
    <w:qFormat/>
    <w:rsid w:val="007d6b9c"/>
    <w:pPr>
      <w:widowControl/>
      <w:pBdr>
        <w:bottom w:val="single" w:sz="8" w:space="4" w:color="4F81BD"/>
      </w:pBdr>
      <w:snapToGrid w:val="true"/>
      <w:spacing w:before="0" w:after="300"/>
      <w:ind w:hanging="0"/>
      <w:contextualSpacing/>
      <w:jc w:val="left"/>
    </w:pPr>
    <w:rPr>
      <w:rFonts w:ascii="Cambria" w:hAnsi="Cambria" w:cs="Times New Roman"/>
      <w:color w:val="17365D"/>
      <w:spacing w:val="5"/>
      <w:kern w:val="2"/>
      <w:sz w:val="52"/>
      <w:szCs w:val="52"/>
      <w:lang w:eastAsia="ru-RU" w:bidi="ar-SA"/>
    </w:rPr>
  </w:style>
  <w:style w:type="paragraph" w:styleId="Subtitle">
    <w:name w:val="Subtitle"/>
    <w:basedOn w:val="Normal"/>
    <w:next w:val="Normal"/>
    <w:link w:val="Style11"/>
    <w:uiPriority w:val="11"/>
    <w:qFormat/>
    <w:rsid w:val="007d6b9c"/>
    <w:pPr>
      <w:widowControl/>
      <w:numPr>
        <w:ilvl w:val="1"/>
      </w:numPr>
      <w:snapToGrid w:val="true"/>
      <w:ind w:left="1066" w:firstLine="709"/>
      <w:jc w:val="left"/>
    </w:pPr>
    <w:rPr>
      <w:rFonts w:ascii="Cambria" w:hAnsi="Cambria" w:cs="Times New Roman"/>
      <w:i/>
      <w:iCs/>
      <w:color w:val="4F81BD"/>
      <w:spacing w:val="15"/>
      <w:szCs w:val="24"/>
      <w:lang w:eastAsia="ru-RU" w:bidi="ar-SA"/>
    </w:rPr>
  </w:style>
  <w:style w:type="paragraph" w:styleId="Quote">
    <w:name w:val="Quote"/>
    <w:basedOn w:val="Normal"/>
    <w:next w:val="Normal"/>
    <w:link w:val="21"/>
    <w:uiPriority w:val="29"/>
    <w:qFormat/>
    <w:rsid w:val="007d6b9c"/>
    <w:pPr>
      <w:widowControl/>
      <w:snapToGrid w:val="true"/>
      <w:ind w:hanging="0"/>
      <w:jc w:val="left"/>
    </w:pPr>
    <w:rPr>
      <w:rFonts w:ascii="Calibri" w:hAnsi="Calibri" w:eastAsia="Calibri" w:cs="Times New Roman"/>
      <w:i/>
      <w:iCs/>
      <w:sz w:val="20"/>
      <w:szCs w:val="20"/>
      <w:lang w:eastAsia="ru-RU" w:bidi="ar-SA"/>
    </w:rPr>
  </w:style>
  <w:style w:type="paragraph" w:styleId="IntenseQuote">
    <w:name w:val="Intense Quote"/>
    <w:basedOn w:val="Normal"/>
    <w:next w:val="Normal"/>
    <w:link w:val="Style12"/>
    <w:uiPriority w:val="30"/>
    <w:qFormat/>
    <w:rsid w:val="007d6b9c"/>
    <w:pPr>
      <w:widowControl/>
      <w:pBdr>
        <w:bottom w:val="single" w:sz="4" w:space="4" w:color="4F81BD"/>
      </w:pBdr>
      <w:snapToGrid w:val="true"/>
      <w:spacing w:before="200" w:after="280"/>
      <w:ind w:left="936" w:right="936" w:hanging="0"/>
      <w:jc w:val="left"/>
    </w:pPr>
    <w:rPr>
      <w:rFonts w:ascii="Calibri" w:hAnsi="Calibri" w:eastAsia="Calibri" w:cs="Times New Roman"/>
      <w:b/>
      <w:bCs/>
      <w:i/>
      <w:iCs/>
      <w:color w:val="4F81BD"/>
      <w:sz w:val="20"/>
      <w:szCs w:val="20"/>
      <w:lang w:eastAsia="ru-RU" w:bidi="ar-SA"/>
    </w:rPr>
  </w:style>
  <w:style w:type="paragraph" w:styleId="IndexHeading">
    <w:name w:val="Index Heading"/>
    <w:basedOn w:val="Style18"/>
    <w:pPr/>
    <w:rPr/>
  </w:style>
  <w:style w:type="paragraph" w:styleId="TOCHeading">
    <w:name w:val="TOC Heading"/>
    <w:basedOn w:val="Heading1"/>
    <w:next w:val="Normal"/>
    <w:uiPriority w:val="39"/>
    <w:qFormat/>
    <w:rsid w:val="007d6b9c"/>
    <w:pPr>
      <w:widowControl/>
      <w:numPr>
        <w:ilvl w:val="0"/>
        <w:numId w:val="0"/>
      </w:numPr>
      <w:snapToGrid w:val="true"/>
      <w:spacing w:lineRule="auto" w:line="240" w:before="480" w:after="0"/>
      <w:ind w:firstLine="397"/>
      <w:jc w:val="left"/>
      <w:outlineLvl w:val="9"/>
    </w:pPr>
    <w:rPr>
      <w:rFonts w:ascii="Cambria" w:hAnsi="Cambria" w:cs="Times New Roman"/>
      <w:color w:val="365F91"/>
      <w:szCs w:val="28"/>
      <w:lang w:eastAsia="ru-RU"/>
    </w:rPr>
  </w:style>
  <w:style w:type="paragraph" w:styleId="E-mailSignature">
    <w:name w:val="E-mail Signature"/>
    <w:basedOn w:val="Normal"/>
    <w:link w:val="Style13"/>
    <w:uiPriority w:val="99"/>
    <w:semiHidden/>
    <w:unhideWhenUsed/>
    <w:qFormat/>
    <w:rsid w:val="007d6b9c"/>
    <w:pPr>
      <w:widowControl/>
      <w:snapToGrid w:val="true"/>
      <w:ind w:hanging="0"/>
      <w:jc w:val="left"/>
    </w:pPr>
    <w:rPr>
      <w:rFonts w:eastAsia="Calibri" w:cs="Times New Roman"/>
      <w:color w:val="auto"/>
      <w:szCs w:val="24"/>
      <w:lang w:eastAsia="ru-RU" w:bidi="ar-SA"/>
    </w:rPr>
  </w:style>
  <w:style w:type="paragraph" w:styleId="Style31" w:customStyle="1">
    <w:name w:val="Знак"/>
    <w:basedOn w:val="Normal"/>
    <w:qFormat/>
    <w:rsid w:val="007d6b9c"/>
    <w:pPr>
      <w:widowControl/>
      <w:snapToGrid w:val="true"/>
      <w:spacing w:lineRule="exact" w:line="240" w:before="0" w:after="160"/>
      <w:ind w:hanging="0"/>
      <w:jc w:val="left"/>
    </w:pPr>
    <w:rPr>
      <w:rFonts w:ascii="Verdana" w:hAnsi="Verdana" w:cs="Verdana"/>
      <w:color w:val="auto"/>
      <w:sz w:val="20"/>
      <w:szCs w:val="20"/>
      <w:lang w:val="en-US" w:eastAsia="ru-RU" w:bidi="ar-SA"/>
    </w:rPr>
  </w:style>
  <w:style w:type="paragraph" w:styleId="33" w:customStyle="1">
    <w:name w:val="Нумерованный список ур3"/>
    <w:basedOn w:val="Normal"/>
    <w:qFormat/>
    <w:rsid w:val="007d6b9c"/>
    <w:pPr>
      <w:widowControl/>
      <w:numPr>
        <w:ilvl w:val="2"/>
        <w:numId w:val="3"/>
      </w:numPr>
      <w:snapToGrid w:val="true"/>
    </w:pPr>
    <w:rPr>
      <w:rFonts w:ascii="Garamond" w:hAnsi="Garamond" w:cs="Times New Roman"/>
      <w:color w:val="auto"/>
      <w:szCs w:val="20"/>
      <w:lang w:eastAsia="ru-RU" w:bidi="ar-SA"/>
    </w:rPr>
  </w:style>
  <w:style w:type="paragraph" w:styleId="List3" w:customStyle="1">
    <w:name w:val="List 3"/>
    <w:basedOn w:val="Normal"/>
    <w:rsid w:val="007d6b9c"/>
    <w:pPr>
      <w:widowControl/>
      <w:numPr>
        <w:ilvl w:val="0"/>
        <w:numId w:val="3"/>
      </w:numPr>
      <w:snapToGrid w:val="true"/>
      <w:spacing w:before="120" w:after="0"/>
    </w:pPr>
    <w:rPr>
      <w:rFonts w:ascii="Garamond" w:hAnsi="Garamond" w:cs="Times New Roman"/>
      <w:color w:val="auto"/>
      <w:szCs w:val="20"/>
      <w:lang w:eastAsia="ru-RU" w:bidi="ar-SA"/>
    </w:rPr>
  </w:style>
  <w:style w:type="paragraph" w:styleId="22" w:customStyle="1">
    <w:name w:val="Нумерованный список ур2"/>
    <w:basedOn w:val="Normal"/>
    <w:qFormat/>
    <w:rsid w:val="007d6b9c"/>
    <w:pPr>
      <w:widowControl/>
      <w:numPr>
        <w:ilvl w:val="1"/>
        <w:numId w:val="3"/>
      </w:numPr>
      <w:snapToGrid w:val="true"/>
      <w:spacing w:before="120" w:after="0"/>
    </w:pPr>
    <w:rPr>
      <w:rFonts w:ascii="Garamond" w:hAnsi="Garamond" w:cs="Times New Roman"/>
      <w:color w:val="auto"/>
      <w:szCs w:val="20"/>
      <w:lang w:eastAsia="ru-RU" w:bidi="ar-SA"/>
    </w:rPr>
  </w:style>
  <w:style w:type="paragraph" w:styleId="NormalWeb">
    <w:name w:val="Normal (Web)"/>
    <w:basedOn w:val="Normal"/>
    <w:uiPriority w:val="99"/>
    <w:qFormat/>
    <w:rsid w:val="007d6b9c"/>
    <w:pPr>
      <w:widowControl/>
      <w:snapToGrid w:val="true"/>
      <w:spacing w:before="30" w:after="30"/>
      <w:ind w:hanging="0"/>
      <w:jc w:val="left"/>
    </w:pPr>
    <w:rPr>
      <w:rFonts w:ascii="Arial" w:hAnsi="Arial" w:eastAsia="Arial Unicode MS" w:cs="Arial"/>
      <w:color w:val="332E2D"/>
      <w:spacing w:val="2"/>
      <w:szCs w:val="24"/>
      <w:lang w:eastAsia="ru-RU" w:bidi="ar-SA"/>
    </w:rPr>
  </w:style>
  <w:style w:type="paragraph" w:styleId="34" w:customStyle="1">
    <w:name w:val="Знак Знак3 Знак Знак"/>
    <w:basedOn w:val="Normal"/>
    <w:qFormat/>
    <w:rsid w:val="007d6b9c"/>
    <w:pPr>
      <w:widowControl/>
      <w:snapToGrid w:val="true"/>
      <w:spacing w:lineRule="exact" w:line="240" w:before="0" w:after="160"/>
      <w:ind w:hanging="0"/>
    </w:pPr>
    <w:rPr>
      <w:rFonts w:ascii="Verdana" w:hAnsi="Verdana" w:cs="Verdana"/>
      <w:color w:val="auto"/>
      <w:sz w:val="22"/>
      <w:lang w:val="en-US" w:eastAsia="ru-RU" w:bidi="ar-SA"/>
    </w:rPr>
  </w:style>
  <w:style w:type="paragraph" w:styleId="Style32" w:customStyle="1">
    <w:name w:val="Пункт"/>
    <w:basedOn w:val="Normal"/>
    <w:qFormat/>
    <w:rsid w:val="007d6b9c"/>
    <w:pPr>
      <w:tabs>
        <w:tab w:val="clear" w:pos="708"/>
        <w:tab w:val="left" w:pos="1134" w:leader="none"/>
      </w:tabs>
      <w:snapToGrid w:val="true"/>
      <w:spacing w:lineRule="auto" w:line="360" w:before="120" w:after="0"/>
      <w:ind w:left="1134" w:right="800" w:hanging="1134"/>
    </w:pPr>
    <w:rPr>
      <w:rFonts w:ascii="Arial" w:hAnsi="Arial" w:cs="Times New Roman"/>
      <w:b/>
      <w:i/>
      <w:color w:val="auto"/>
      <w:sz w:val="28"/>
      <w:szCs w:val="20"/>
      <w:lang w:eastAsia="ru-RU" w:bidi="ar-SA"/>
    </w:rPr>
  </w:style>
  <w:style w:type="paragraph" w:styleId="23" w:customStyle="1">
    <w:name w:val="Абзац списка2"/>
    <w:basedOn w:val="Normal"/>
    <w:qFormat/>
    <w:rsid w:val="007d6b9c"/>
    <w:pPr>
      <w:widowControl/>
      <w:snapToGrid w:val="true"/>
      <w:spacing w:lineRule="auto" w:line="276" w:before="0" w:after="200"/>
      <w:ind w:left="720" w:hanging="0"/>
      <w:contextualSpacing/>
      <w:jc w:val="left"/>
    </w:pPr>
    <w:rPr>
      <w:rFonts w:ascii="Calibri" w:hAnsi="Calibri" w:cs="Times New Roman"/>
      <w:color w:val="auto"/>
      <w:sz w:val="22"/>
      <w:lang w:eastAsia="ru-RU" w:bidi="ar-SA"/>
    </w:rPr>
  </w:style>
  <w:style w:type="paragraph" w:styleId="BodyTextIndent">
    <w:name w:val="Body Text Indent"/>
    <w:basedOn w:val="Normal"/>
    <w:link w:val="Style14"/>
    <w:rsid w:val="007d6b9c"/>
    <w:pPr>
      <w:widowControl/>
      <w:snapToGrid w:val="true"/>
      <w:spacing w:before="0" w:after="120"/>
      <w:ind w:left="283" w:hanging="0"/>
      <w:jc w:val="left"/>
    </w:pPr>
    <w:rPr>
      <w:rFonts w:cs="Times New Roman"/>
      <w:color w:val="auto"/>
      <w:sz w:val="28"/>
      <w:szCs w:val="28"/>
      <w:lang w:eastAsia="ru-RU" w:bidi="ar-SA"/>
    </w:rPr>
  </w:style>
  <w:style w:type="paragraph" w:styleId="Style33" w:customStyle="1">
    <w:name w:val="Знак Знак"/>
    <w:basedOn w:val="Normal"/>
    <w:qFormat/>
    <w:rsid w:val="007d6b9c"/>
    <w:pPr>
      <w:widowControl/>
      <w:snapToGrid w:val="true"/>
      <w:spacing w:lineRule="exact" w:line="240" w:before="0" w:after="160"/>
      <w:ind w:hanging="0"/>
      <w:jc w:val="left"/>
    </w:pPr>
    <w:rPr>
      <w:rFonts w:ascii="Verdana" w:hAnsi="Verdana" w:cs="Verdana"/>
      <w:color w:val="auto"/>
      <w:sz w:val="20"/>
      <w:szCs w:val="20"/>
      <w:lang w:val="en-US" w:bidi="ar-SA"/>
    </w:rPr>
  </w:style>
  <w:style w:type="paragraph" w:styleId="TOC3">
    <w:name w:val="TOC 3"/>
    <w:basedOn w:val="Normal"/>
    <w:next w:val="Normal"/>
    <w:autoRedefine/>
    <w:uiPriority w:val="39"/>
    <w:unhideWhenUsed/>
    <w:rsid w:val="007d6b9c"/>
    <w:pPr>
      <w:widowControl/>
      <w:snapToGrid w:val="true"/>
      <w:spacing w:lineRule="auto" w:line="276" w:before="0" w:after="100"/>
      <w:ind w:left="440" w:hanging="0"/>
      <w:jc w:val="left"/>
    </w:pPr>
    <w:rPr>
      <w:rFonts w:ascii="Calibri" w:hAnsi="Calibri" w:cs="Times New Roman"/>
      <w:color w:val="auto"/>
      <w:sz w:val="22"/>
      <w:lang w:eastAsia="ru-RU" w:bidi="ar-SA"/>
    </w:rPr>
  </w:style>
  <w:style w:type="paragraph" w:styleId="62" w:customStyle="1">
    <w:name w:val="Основной текст (6)"/>
    <w:basedOn w:val="Normal"/>
    <w:link w:val="61"/>
    <w:qFormat/>
    <w:rsid w:val="007d6b9c"/>
    <w:pPr>
      <w:shd w:val="clear" w:color="auto" w:fill="FFFFFF"/>
      <w:snapToGrid w:val="true"/>
      <w:ind w:firstLine="720"/>
    </w:pPr>
    <w:rPr>
      <w:rFonts w:eastAsia="Calibri" w:cs="" w:cstheme="minorBidi" w:eastAsiaTheme="minorHAnsi"/>
      <w:color w:val="auto"/>
      <w:sz w:val="22"/>
      <w:lang w:bidi="ar-SA"/>
    </w:rPr>
  </w:style>
  <w:style w:type="paragraph" w:styleId="TableListParagraph" w:customStyle="1">
    <w:name w:val="Table List Paragraph"/>
    <w:basedOn w:val="Normal"/>
    <w:qFormat/>
    <w:rsid w:val="007d6b9c"/>
    <w:pPr>
      <w:widowControl/>
      <w:numPr>
        <w:ilvl w:val="0"/>
        <w:numId w:val="9"/>
      </w:numPr>
      <w:tabs>
        <w:tab w:val="clear" w:pos="708"/>
        <w:tab w:val="left" w:pos="360" w:leader="none"/>
      </w:tabs>
      <w:snapToGrid w:val="true"/>
    </w:pPr>
    <w:rPr>
      <w:rFonts w:cs="Times New Roman"/>
      <w:color w:val="auto"/>
      <w:szCs w:val="24"/>
      <w:lang w:eastAsia="ru-RU" w:bidi="ar-SA"/>
    </w:rPr>
  </w:style>
  <w:style w:type="numbering" w:styleId="NoList" w:default="1">
    <w:name w:val="No List"/>
    <w:uiPriority w:val="99"/>
    <w:semiHidden/>
    <w:unhideWhenUsed/>
    <w:qFormat/>
  </w:style>
  <w:style w:type="numbering" w:styleId="16" w:customStyle="1">
    <w:name w:val="Нет списка1"/>
    <w:uiPriority w:val="99"/>
    <w:semiHidden/>
    <w:unhideWhenUsed/>
    <w:qFormat/>
    <w:rsid w:val="007d6b9c"/>
  </w:style>
  <w:style w:type="table" w:default="1" w:styleId="a6">
    <w:name w:val="Normal Table"/>
    <w:uiPriority w:val="99"/>
    <w:semiHidden/>
    <w:unhideWhenUsed/>
    <w:tblPr>
      <w:tblCellMar>
        <w:top w:w="0" w:type="dxa"/>
        <w:left w:w="108" w:type="dxa"/>
        <w:bottom w:w="0" w:type="dxa"/>
        <w:right w:w="108" w:type="dxa"/>
      </w:tblCellMar>
    </w:tblPr>
  </w:style>
  <w:style w:type="table" w:styleId="afc">
    <w:name w:val="Table Grid"/>
    <w:basedOn w:val="a6"/>
    <w:uiPriority w:val="39"/>
    <w:rsid w:val="007d6b9c"/>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footer" Target="footer4.xml"/><Relationship Id="rId8" Type="http://schemas.openxmlformats.org/officeDocument/2006/relationships/footer" Target="footer5.xml"/><Relationship Id="rId9" Type="http://schemas.openxmlformats.org/officeDocument/2006/relationships/header" Target="header1.xml"/><Relationship Id="rId10" Type="http://schemas.openxmlformats.org/officeDocument/2006/relationships/footer" Target="footer6.xml"/><Relationship Id="rId11" Type="http://schemas.openxmlformats.org/officeDocument/2006/relationships/footer" Target="footer7.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grandsmeta82.ru/znaj-kak/grand-smeta-baza-znanij/109-raschet-zatrat-na-energonositeli-elektroenergiyu-toplivo-i-pr-v-grand-smete.html"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F0383-C3A1-47A9-8CC2-0CDAB8B460CA}">
  <ds:schemaRefs>
    <ds:schemaRef ds:uri="http://schemas.microsoft.com/sharepoint/v3/contenttype/forms"/>
  </ds:schemaRefs>
</ds:datastoreItem>
</file>

<file path=customXml/itemProps2.xml><?xml version="1.0" encoding="utf-8"?>
<ds:datastoreItem xmlns:ds="http://schemas.openxmlformats.org/officeDocument/2006/customXml" ds:itemID="{0BAA6035-BC07-403E-A418-F09637244F71}">
  <ds:schemaRef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F610062-D658-43A1-B5FA-0C1114128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6C789D-438A-4176-835A-51F565FD8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Application>AlterOffice/3.4.0.9$Linux_X86_64 LibreOffice_project/b8daf9e823b1a5463a2f48435ddc2e8696e7d4fc</Application>
  <AppVersion>15.0000</AppVersion>
  <Pages>14</Pages>
  <Words>3108</Words>
  <Characters>21920</Characters>
  <CharactersWithSpaces>25860</CharactersWithSpaces>
  <Paragraphs>420</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2025-01-09T23:41:00Z</dcterms:created>
  <dc:creator>Быстрова Дарья Андреевна</dc:creator>
  <dc:description/>
  <dc:language>ru-RU</dc:language>
  <cp:lastModifiedBy>chichilomp@corp.gidroogk.com</cp:lastModifiedBy>
  <dcterms:modified xsi:type="dcterms:W3CDTF">2026-03-04T08:33:09Z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